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snapToGrid/>
        <w:spacing w:line="360" w:lineRule="auto"/>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附件</w:t>
      </w:r>
    </w:p>
    <w:p>
      <w:pPr>
        <w:keepNext w:val="0"/>
        <w:keepLines w:val="0"/>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rPr>
          <w:rFonts w:hint="eastAsia"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lang w:val="en-US" w:eastAsia="zh-CN"/>
        </w:rPr>
        <w:t>2019-2020年</w:t>
      </w:r>
      <w:r>
        <w:rPr>
          <w:rFonts w:hint="eastAsia" w:ascii="方正小标宋简体" w:hAnsi="方正小标宋简体" w:eastAsia="方正小标宋简体" w:cs="方正小标宋简体"/>
          <w:sz w:val="36"/>
          <w:szCs w:val="36"/>
          <w:lang w:eastAsia="zh-CN"/>
        </w:rPr>
        <w:t>研究生教改项目结题验收通过名单</w:t>
      </w:r>
    </w:p>
    <w:tbl>
      <w:tblPr>
        <w:tblStyle w:val="2"/>
        <w:tblW w:w="90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706"/>
        <w:gridCol w:w="1260"/>
        <w:gridCol w:w="4734"/>
        <w:gridCol w:w="1011"/>
        <w:gridCol w:w="1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tblHeader/>
          <w:jc w:val="center"/>
        </w:trPr>
        <w:tc>
          <w:tcPr>
            <w:tcW w:w="706" w:type="dxa"/>
            <w:noWrap w:val="0"/>
            <w:vAlign w:val="center"/>
          </w:tcPr>
          <w:p>
            <w:pPr>
              <w:widowControl/>
              <w:jc w:val="center"/>
              <w:textAlignment w:val="center"/>
              <w:rPr>
                <w:rFonts w:ascii="仿宋_GB2312" w:hAnsi="仿宋_GB2312" w:eastAsia="仿宋_GB2312" w:cs="仿宋_GB2312"/>
                <w:b/>
                <w:color w:val="000000"/>
                <w:sz w:val="28"/>
                <w:szCs w:val="28"/>
              </w:rPr>
            </w:pPr>
            <w:r>
              <w:rPr>
                <w:rFonts w:hint="eastAsia" w:ascii="仿宋_GB2312" w:hAnsi="仿宋_GB2312" w:eastAsia="仿宋_GB2312" w:cs="仿宋_GB2312"/>
                <w:b/>
                <w:color w:val="000000"/>
                <w:kern w:val="0"/>
                <w:sz w:val="28"/>
                <w:szCs w:val="28"/>
              </w:rPr>
              <w:t>序号</w:t>
            </w:r>
          </w:p>
        </w:tc>
        <w:tc>
          <w:tcPr>
            <w:tcW w:w="1260" w:type="dxa"/>
            <w:noWrap w:val="0"/>
            <w:vAlign w:val="center"/>
          </w:tcPr>
          <w:p>
            <w:pPr>
              <w:widowControl/>
              <w:jc w:val="center"/>
              <w:textAlignment w:val="center"/>
              <w:rPr>
                <w:rFonts w:hint="eastAsia" w:ascii="仿宋_GB2312" w:hAnsi="仿宋_GB2312" w:eastAsia="仿宋_GB2312" w:cs="仿宋_GB2312"/>
                <w:b/>
                <w:color w:val="000000"/>
                <w:kern w:val="0"/>
                <w:sz w:val="28"/>
                <w:szCs w:val="28"/>
                <w:lang w:eastAsia="zh-CN"/>
              </w:rPr>
            </w:pPr>
            <w:r>
              <w:rPr>
                <w:rFonts w:hint="eastAsia" w:ascii="仿宋_GB2312" w:hAnsi="仿宋_GB2312" w:eastAsia="仿宋_GB2312" w:cs="仿宋_GB2312"/>
                <w:b/>
                <w:color w:val="000000"/>
                <w:kern w:val="0"/>
                <w:sz w:val="28"/>
                <w:szCs w:val="28"/>
                <w:lang w:eastAsia="zh-CN"/>
              </w:rPr>
              <w:t>类型</w:t>
            </w:r>
          </w:p>
        </w:tc>
        <w:tc>
          <w:tcPr>
            <w:tcW w:w="4734" w:type="dxa"/>
            <w:noWrap w:val="0"/>
            <w:vAlign w:val="center"/>
          </w:tcPr>
          <w:p>
            <w:pPr>
              <w:widowControl/>
              <w:jc w:val="center"/>
              <w:textAlignment w:val="center"/>
              <w:rPr>
                <w:rFonts w:ascii="仿宋_GB2312" w:hAnsi="仿宋_GB2312" w:eastAsia="仿宋_GB2312" w:cs="仿宋_GB2312"/>
                <w:b/>
                <w:color w:val="000000"/>
                <w:sz w:val="28"/>
                <w:szCs w:val="28"/>
              </w:rPr>
            </w:pPr>
            <w:r>
              <w:rPr>
                <w:rFonts w:hint="eastAsia" w:ascii="仿宋_GB2312" w:hAnsi="仿宋_GB2312" w:eastAsia="仿宋_GB2312" w:cs="仿宋_GB2312"/>
                <w:b/>
                <w:color w:val="000000"/>
                <w:kern w:val="0"/>
                <w:sz w:val="28"/>
                <w:szCs w:val="28"/>
              </w:rPr>
              <w:t>课程名称</w:t>
            </w:r>
          </w:p>
        </w:tc>
        <w:tc>
          <w:tcPr>
            <w:tcW w:w="1011" w:type="dxa"/>
            <w:noWrap w:val="0"/>
            <w:vAlign w:val="center"/>
          </w:tcPr>
          <w:p>
            <w:pPr>
              <w:widowControl/>
              <w:jc w:val="center"/>
              <w:textAlignment w:val="center"/>
              <w:rPr>
                <w:rFonts w:ascii="仿宋_GB2312" w:hAnsi="仿宋_GB2312" w:eastAsia="仿宋_GB2312" w:cs="仿宋_GB2312"/>
                <w:b/>
                <w:color w:val="000000"/>
                <w:sz w:val="28"/>
                <w:szCs w:val="28"/>
              </w:rPr>
            </w:pPr>
            <w:r>
              <w:rPr>
                <w:rFonts w:hint="eastAsia" w:ascii="仿宋_GB2312" w:hAnsi="仿宋_GB2312" w:eastAsia="仿宋_GB2312" w:cs="仿宋_GB2312"/>
                <w:b/>
                <w:color w:val="000000"/>
                <w:kern w:val="0"/>
                <w:sz w:val="28"/>
                <w:szCs w:val="28"/>
              </w:rPr>
              <w:t>负责人</w:t>
            </w:r>
          </w:p>
        </w:tc>
        <w:tc>
          <w:tcPr>
            <w:tcW w:w="1365" w:type="dxa"/>
            <w:noWrap w:val="0"/>
            <w:vAlign w:val="center"/>
          </w:tcPr>
          <w:p>
            <w:pPr>
              <w:widowControl/>
              <w:jc w:val="center"/>
              <w:textAlignment w:val="center"/>
              <w:rPr>
                <w:rFonts w:hint="eastAsia" w:ascii="仿宋_GB2312" w:hAnsi="仿宋_GB2312" w:eastAsia="仿宋_GB2312" w:cs="仿宋_GB2312"/>
                <w:b/>
                <w:color w:val="000000"/>
                <w:kern w:val="0"/>
                <w:sz w:val="28"/>
                <w:szCs w:val="28"/>
                <w:lang w:eastAsia="zh-CN"/>
              </w:rPr>
            </w:pPr>
            <w:r>
              <w:rPr>
                <w:rFonts w:hint="eastAsia" w:ascii="仿宋_GB2312" w:hAnsi="仿宋_GB2312" w:eastAsia="仿宋_GB2312" w:cs="仿宋_GB2312"/>
                <w:b/>
                <w:color w:val="000000"/>
                <w:kern w:val="0"/>
                <w:sz w:val="28"/>
                <w:szCs w:val="28"/>
                <w:lang w:eastAsia="zh-CN"/>
              </w:rPr>
              <w:t>评审结果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ascii="仿宋_GB2312" w:hAnsi="仿宋_GB2312" w:eastAsia="仿宋_GB2312" w:cs="仿宋_GB2312"/>
                <w:color w:val="000000"/>
                <w:sz w:val="28"/>
                <w:szCs w:val="28"/>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精品课程</w:t>
            </w:r>
          </w:p>
        </w:tc>
        <w:tc>
          <w:tcPr>
            <w:tcW w:w="4734" w:type="dxa"/>
            <w:noWrap w:val="0"/>
            <w:vAlign w:val="center"/>
          </w:tcPr>
          <w:p>
            <w:pPr>
              <w:jc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val="en-US" w:eastAsia="zh-CN" w:bidi="ar"/>
              </w:rPr>
              <w:t>湿地生态学</w:t>
            </w:r>
          </w:p>
        </w:tc>
        <w:tc>
          <w:tcPr>
            <w:tcW w:w="1011" w:type="dxa"/>
            <w:noWrap w:val="0"/>
            <w:vAlign w:val="center"/>
          </w:tcPr>
          <w:p>
            <w:pPr>
              <w:jc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val="en-US" w:eastAsia="zh-CN" w:bidi="ar"/>
              </w:rPr>
              <w:t>姜翠玲</w:t>
            </w:r>
          </w:p>
        </w:tc>
        <w:tc>
          <w:tcPr>
            <w:tcW w:w="1365"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ascii="仿宋_GB2312" w:hAnsi="仿宋_GB2312" w:eastAsia="仿宋_GB2312" w:cs="仿宋_GB2312"/>
                <w:color w:val="000000"/>
                <w:sz w:val="28"/>
                <w:szCs w:val="28"/>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精品课程</w:t>
            </w:r>
          </w:p>
        </w:tc>
        <w:tc>
          <w:tcPr>
            <w:tcW w:w="4734" w:type="dxa"/>
            <w:noWrap w:val="0"/>
            <w:vAlign w:val="center"/>
          </w:tcPr>
          <w:p>
            <w:pPr>
              <w:jc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val="en-US" w:eastAsia="zh-CN" w:bidi="ar"/>
              </w:rPr>
              <w:t>生态修复理论与技术</w:t>
            </w:r>
          </w:p>
        </w:tc>
        <w:tc>
          <w:tcPr>
            <w:tcW w:w="1011" w:type="dxa"/>
            <w:noWrap w:val="0"/>
            <w:vAlign w:val="center"/>
          </w:tcPr>
          <w:p>
            <w:pPr>
              <w:jc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val="en-US" w:eastAsia="zh-CN" w:bidi="ar"/>
              </w:rPr>
              <w:t>张文龙</w:t>
            </w:r>
          </w:p>
        </w:tc>
        <w:tc>
          <w:tcPr>
            <w:tcW w:w="1365"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ascii="仿宋_GB2312" w:hAnsi="仿宋_GB2312" w:eastAsia="仿宋_GB2312" w:cs="仿宋_GB2312"/>
                <w:color w:val="000000"/>
                <w:sz w:val="28"/>
                <w:szCs w:val="28"/>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精品课程</w:t>
            </w:r>
          </w:p>
        </w:tc>
        <w:tc>
          <w:tcPr>
            <w:tcW w:w="4734" w:type="dxa"/>
            <w:noWrap w:val="0"/>
            <w:vAlign w:val="center"/>
          </w:tcPr>
          <w:p>
            <w:pPr>
              <w:jc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val="en-US" w:eastAsia="zh-CN" w:bidi="ar"/>
              </w:rPr>
              <w:t>软件开发方法与技术</w:t>
            </w:r>
          </w:p>
        </w:tc>
        <w:tc>
          <w:tcPr>
            <w:tcW w:w="1011" w:type="dxa"/>
            <w:noWrap w:val="0"/>
            <w:vAlign w:val="center"/>
          </w:tcPr>
          <w:p>
            <w:pPr>
              <w:jc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val="en-US" w:eastAsia="zh-CN" w:bidi="ar"/>
              </w:rPr>
              <w:t>张鹏程</w:t>
            </w:r>
          </w:p>
        </w:tc>
        <w:tc>
          <w:tcPr>
            <w:tcW w:w="1365"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ascii="仿宋_GB2312" w:hAnsi="仿宋_GB2312" w:eastAsia="仿宋_GB2312" w:cs="仿宋_GB2312"/>
                <w:color w:val="000000"/>
                <w:sz w:val="28"/>
                <w:szCs w:val="28"/>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精品课程</w:t>
            </w:r>
          </w:p>
        </w:tc>
        <w:tc>
          <w:tcPr>
            <w:tcW w:w="4734" w:type="dxa"/>
            <w:noWrap w:val="0"/>
            <w:vAlign w:val="center"/>
          </w:tcPr>
          <w:p>
            <w:pPr>
              <w:jc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val="en-US" w:eastAsia="zh-CN" w:bidi="ar"/>
              </w:rPr>
              <w:t>有限单元法</w:t>
            </w:r>
          </w:p>
        </w:tc>
        <w:tc>
          <w:tcPr>
            <w:tcW w:w="1011" w:type="dxa"/>
            <w:noWrap w:val="0"/>
            <w:vAlign w:val="center"/>
          </w:tcPr>
          <w:p>
            <w:pPr>
              <w:jc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val="en-US" w:eastAsia="zh-CN" w:bidi="ar"/>
              </w:rPr>
              <w:t>陈国荣</w:t>
            </w:r>
          </w:p>
        </w:tc>
        <w:tc>
          <w:tcPr>
            <w:tcW w:w="1365"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ascii="仿宋_GB2312" w:hAnsi="仿宋_GB2312" w:eastAsia="仿宋_GB2312" w:cs="仿宋_GB2312"/>
                <w:color w:val="000000"/>
                <w:sz w:val="28"/>
                <w:szCs w:val="28"/>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精品课程</w:t>
            </w:r>
          </w:p>
        </w:tc>
        <w:tc>
          <w:tcPr>
            <w:tcW w:w="4734" w:type="dxa"/>
            <w:noWrap w:val="0"/>
            <w:vAlign w:val="center"/>
          </w:tcPr>
          <w:p>
            <w:pPr>
              <w:jc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val="en-US" w:eastAsia="zh-CN" w:bidi="ar"/>
              </w:rPr>
              <w:t>金属材料失效分析</w:t>
            </w:r>
          </w:p>
        </w:tc>
        <w:tc>
          <w:tcPr>
            <w:tcW w:w="1011" w:type="dxa"/>
            <w:noWrap w:val="0"/>
            <w:vAlign w:val="center"/>
          </w:tcPr>
          <w:p>
            <w:pPr>
              <w:jc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val="en-US" w:eastAsia="zh-CN" w:bidi="ar"/>
              </w:rPr>
              <w:t>江静华</w:t>
            </w:r>
          </w:p>
        </w:tc>
        <w:tc>
          <w:tcPr>
            <w:tcW w:w="1365"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ascii="仿宋_GB2312" w:hAnsi="仿宋_GB2312" w:eastAsia="仿宋_GB2312" w:cs="仿宋_GB2312"/>
                <w:color w:val="000000"/>
                <w:sz w:val="28"/>
                <w:szCs w:val="28"/>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精品课程</w:t>
            </w:r>
          </w:p>
        </w:tc>
        <w:tc>
          <w:tcPr>
            <w:tcW w:w="4734" w:type="dxa"/>
            <w:noWrap w:val="0"/>
            <w:vAlign w:val="center"/>
          </w:tcPr>
          <w:p>
            <w:pPr>
              <w:jc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val="en-US" w:eastAsia="zh-CN" w:bidi="ar"/>
              </w:rPr>
              <w:t>多元统计分析</w:t>
            </w:r>
          </w:p>
        </w:tc>
        <w:tc>
          <w:tcPr>
            <w:tcW w:w="1011" w:type="dxa"/>
            <w:noWrap w:val="0"/>
            <w:vAlign w:val="center"/>
          </w:tcPr>
          <w:p>
            <w:pPr>
              <w:jc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val="en-US" w:eastAsia="zh-CN" w:bidi="ar"/>
              </w:rPr>
              <w:t>朱永忠</w:t>
            </w:r>
          </w:p>
        </w:tc>
        <w:tc>
          <w:tcPr>
            <w:tcW w:w="1365"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精品课程</w:t>
            </w:r>
          </w:p>
        </w:tc>
        <w:tc>
          <w:tcPr>
            <w:tcW w:w="4734" w:type="dxa"/>
            <w:noWrap w:val="0"/>
            <w:vAlign w:val="center"/>
          </w:tcPr>
          <w:p>
            <w:pPr>
              <w:jc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val="en-US" w:eastAsia="zh-CN" w:bidi="ar"/>
              </w:rPr>
              <w:t>社会研究方法</w:t>
            </w:r>
          </w:p>
        </w:tc>
        <w:tc>
          <w:tcPr>
            <w:tcW w:w="1011" w:type="dxa"/>
            <w:noWrap w:val="0"/>
            <w:vAlign w:val="center"/>
          </w:tcPr>
          <w:p>
            <w:pPr>
              <w:jc w:val="center"/>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val="en-US" w:eastAsia="zh-CN" w:bidi="ar"/>
              </w:rPr>
              <w:t>王毅杰</w:t>
            </w:r>
          </w:p>
        </w:tc>
        <w:tc>
          <w:tcPr>
            <w:tcW w:w="1365"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4"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精品课程</w:t>
            </w:r>
          </w:p>
        </w:tc>
        <w:tc>
          <w:tcPr>
            <w:tcW w:w="4734"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环境社会学</w:t>
            </w:r>
          </w:p>
        </w:tc>
        <w:tc>
          <w:tcPr>
            <w:tcW w:w="1011"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陈  涛</w:t>
            </w:r>
          </w:p>
        </w:tc>
        <w:tc>
          <w:tcPr>
            <w:tcW w:w="1365"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精品课程</w:t>
            </w:r>
          </w:p>
        </w:tc>
        <w:tc>
          <w:tcPr>
            <w:tcW w:w="4734"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经济博弈论</w:t>
            </w:r>
          </w:p>
        </w:tc>
        <w:tc>
          <w:tcPr>
            <w:tcW w:w="1011"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庞庆华</w:t>
            </w:r>
          </w:p>
        </w:tc>
        <w:tc>
          <w:tcPr>
            <w:tcW w:w="1365"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精品教材</w:t>
            </w:r>
          </w:p>
        </w:tc>
        <w:tc>
          <w:tcPr>
            <w:tcW w:w="4734"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水环境数学模型</w:t>
            </w:r>
          </w:p>
        </w:tc>
        <w:tc>
          <w:tcPr>
            <w:tcW w:w="1011"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管仪庆</w:t>
            </w:r>
          </w:p>
        </w:tc>
        <w:tc>
          <w:tcPr>
            <w:tcW w:w="1365"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精品教材</w:t>
            </w:r>
          </w:p>
        </w:tc>
        <w:tc>
          <w:tcPr>
            <w:tcW w:w="4734"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工程渗流分析与控制</w:t>
            </w:r>
          </w:p>
        </w:tc>
        <w:tc>
          <w:tcPr>
            <w:tcW w:w="1011"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沈振中</w:t>
            </w:r>
          </w:p>
        </w:tc>
        <w:tc>
          <w:tcPr>
            <w:tcW w:w="1365"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精品教材</w:t>
            </w:r>
          </w:p>
        </w:tc>
        <w:tc>
          <w:tcPr>
            <w:tcW w:w="4734" w:type="dxa"/>
            <w:noWrap w:val="0"/>
            <w:vAlign w:val="center"/>
          </w:tcPr>
          <w:p>
            <w:pPr>
              <w:jc w:val="center"/>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渗流理论与测试</w:t>
            </w:r>
          </w:p>
        </w:tc>
        <w:tc>
          <w:tcPr>
            <w:tcW w:w="1011" w:type="dxa"/>
            <w:noWrap w:val="0"/>
            <w:vAlign w:val="center"/>
          </w:tcPr>
          <w:p>
            <w:pPr>
              <w:jc w:val="center"/>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王  媛</w:t>
            </w:r>
          </w:p>
        </w:tc>
        <w:tc>
          <w:tcPr>
            <w:tcW w:w="1365" w:type="dxa"/>
            <w:noWrap w:val="0"/>
            <w:vAlign w:val="center"/>
          </w:tcPr>
          <w:p>
            <w:pPr>
              <w:jc w:val="center"/>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精品教材</w:t>
            </w:r>
          </w:p>
        </w:tc>
        <w:tc>
          <w:tcPr>
            <w:tcW w:w="4734"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水环境模拟</w:t>
            </w:r>
          </w:p>
        </w:tc>
        <w:tc>
          <w:tcPr>
            <w:tcW w:w="1011"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华祖林</w:t>
            </w:r>
          </w:p>
        </w:tc>
        <w:tc>
          <w:tcPr>
            <w:tcW w:w="1365"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精品教材</w:t>
            </w:r>
          </w:p>
        </w:tc>
        <w:tc>
          <w:tcPr>
            <w:tcW w:w="4734"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测绘数据处理理论与方法</w:t>
            </w:r>
          </w:p>
        </w:tc>
        <w:tc>
          <w:tcPr>
            <w:tcW w:w="1011"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岳东杰</w:t>
            </w:r>
          </w:p>
        </w:tc>
        <w:tc>
          <w:tcPr>
            <w:tcW w:w="1365"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精品教材</w:t>
            </w:r>
          </w:p>
        </w:tc>
        <w:tc>
          <w:tcPr>
            <w:tcW w:w="4734"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公共人力资源管理</w:t>
            </w:r>
          </w:p>
        </w:tc>
        <w:tc>
          <w:tcPr>
            <w:tcW w:w="1011"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李  静</w:t>
            </w:r>
          </w:p>
        </w:tc>
        <w:tc>
          <w:tcPr>
            <w:tcW w:w="1365"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精品教材</w:t>
            </w:r>
          </w:p>
        </w:tc>
        <w:tc>
          <w:tcPr>
            <w:tcW w:w="4734"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中国马克思主义与当代辅导读本</w:t>
            </w:r>
          </w:p>
        </w:tc>
        <w:tc>
          <w:tcPr>
            <w:tcW w:w="1011"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刘爱莲</w:t>
            </w:r>
          </w:p>
        </w:tc>
        <w:tc>
          <w:tcPr>
            <w:tcW w:w="1365"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精品教材</w:t>
            </w:r>
          </w:p>
        </w:tc>
        <w:tc>
          <w:tcPr>
            <w:tcW w:w="4734" w:type="dxa"/>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低碳经济理论与中国实现路径研究</w:t>
            </w:r>
          </w:p>
        </w:tc>
        <w:tc>
          <w:tcPr>
            <w:tcW w:w="1011"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田  泽</w:t>
            </w:r>
          </w:p>
        </w:tc>
        <w:tc>
          <w:tcPr>
            <w:tcW w:w="1365"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2"/>
                <w:sz w:val="28"/>
                <w:szCs w:val="28"/>
                <w:lang w:val="en-US" w:eastAsia="zh-CN" w:bidi="ar-SA"/>
              </w:rPr>
              <w:t>精品教材</w:t>
            </w:r>
          </w:p>
        </w:tc>
        <w:tc>
          <w:tcPr>
            <w:tcW w:w="4734"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线性系统理论与设计</w:t>
            </w:r>
          </w:p>
        </w:tc>
        <w:tc>
          <w:tcPr>
            <w:tcW w:w="1011"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王宏华</w:t>
            </w:r>
          </w:p>
        </w:tc>
        <w:tc>
          <w:tcPr>
            <w:tcW w:w="1365"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案例课程</w:t>
            </w:r>
          </w:p>
        </w:tc>
        <w:tc>
          <w:tcPr>
            <w:tcW w:w="4734"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bidi="ar"/>
              </w:rPr>
              <w:t>项目管理</w:t>
            </w:r>
          </w:p>
        </w:tc>
        <w:tc>
          <w:tcPr>
            <w:tcW w:w="1011"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bidi="ar"/>
              </w:rPr>
              <w:t>李晓英</w:t>
            </w:r>
          </w:p>
        </w:tc>
        <w:tc>
          <w:tcPr>
            <w:tcW w:w="1365"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案例课程</w:t>
            </w:r>
          </w:p>
        </w:tc>
        <w:tc>
          <w:tcPr>
            <w:tcW w:w="4734"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bidi="ar"/>
              </w:rPr>
              <w:t>遥感地学应用与制图</w:t>
            </w:r>
          </w:p>
        </w:tc>
        <w:tc>
          <w:tcPr>
            <w:tcW w:w="1011"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bidi="ar"/>
              </w:rPr>
              <w:t>薛朝辉</w:t>
            </w:r>
          </w:p>
        </w:tc>
        <w:tc>
          <w:tcPr>
            <w:tcW w:w="1365"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案例课程</w:t>
            </w:r>
          </w:p>
        </w:tc>
        <w:tc>
          <w:tcPr>
            <w:tcW w:w="4734"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bidi="ar"/>
              </w:rPr>
              <w:t>矩阵论分析</w:t>
            </w:r>
          </w:p>
        </w:tc>
        <w:tc>
          <w:tcPr>
            <w:tcW w:w="1011"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bidi="ar"/>
              </w:rPr>
              <w:t>孟祥芹</w:t>
            </w:r>
          </w:p>
        </w:tc>
        <w:tc>
          <w:tcPr>
            <w:tcW w:w="1365"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案例课程</w:t>
            </w:r>
          </w:p>
        </w:tc>
        <w:tc>
          <w:tcPr>
            <w:tcW w:w="4734"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bidi="ar"/>
              </w:rPr>
              <w:t>社会工作理论</w:t>
            </w:r>
          </w:p>
        </w:tc>
        <w:tc>
          <w:tcPr>
            <w:tcW w:w="1011"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bidi="ar"/>
              </w:rPr>
              <w:t>武艳华</w:t>
            </w:r>
          </w:p>
        </w:tc>
        <w:tc>
          <w:tcPr>
            <w:tcW w:w="1365"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案例课程</w:t>
            </w:r>
          </w:p>
        </w:tc>
        <w:tc>
          <w:tcPr>
            <w:tcW w:w="4734"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bidi="ar"/>
              </w:rPr>
              <w:t>工程伦理导论</w:t>
            </w:r>
          </w:p>
        </w:tc>
        <w:tc>
          <w:tcPr>
            <w:tcW w:w="1011"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bidi="ar"/>
              </w:rPr>
              <w:t>朱立琴</w:t>
            </w:r>
          </w:p>
        </w:tc>
        <w:tc>
          <w:tcPr>
            <w:tcW w:w="1365"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案例课程</w:t>
            </w:r>
          </w:p>
        </w:tc>
        <w:tc>
          <w:tcPr>
            <w:tcW w:w="4734"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bidi="ar"/>
              </w:rPr>
              <w:t>产品设计工程</w:t>
            </w:r>
          </w:p>
        </w:tc>
        <w:tc>
          <w:tcPr>
            <w:tcW w:w="1011"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bidi="ar"/>
              </w:rPr>
              <w:t>严</w:t>
            </w:r>
            <w:r>
              <w:rPr>
                <w:rFonts w:hint="eastAsia" w:ascii="仿宋_GB2312" w:hAnsi="仿宋_GB2312" w:eastAsia="仿宋_GB2312" w:cs="仿宋_GB2312"/>
                <w:color w:val="000000"/>
                <w:kern w:val="0"/>
                <w:sz w:val="28"/>
                <w:szCs w:val="28"/>
                <w:lang w:val="en-US" w:eastAsia="zh-CN" w:bidi="ar"/>
              </w:rPr>
              <w:t xml:space="preserve">  </w:t>
            </w:r>
            <w:r>
              <w:rPr>
                <w:rFonts w:hint="eastAsia" w:ascii="仿宋_GB2312" w:hAnsi="仿宋_GB2312" w:eastAsia="仿宋_GB2312" w:cs="仿宋_GB2312"/>
                <w:color w:val="000000"/>
                <w:kern w:val="0"/>
                <w:sz w:val="28"/>
                <w:szCs w:val="28"/>
                <w:lang w:bidi="ar"/>
              </w:rPr>
              <w:t>波</w:t>
            </w:r>
          </w:p>
        </w:tc>
        <w:tc>
          <w:tcPr>
            <w:tcW w:w="1365"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规划教材</w:t>
            </w:r>
          </w:p>
        </w:tc>
        <w:tc>
          <w:tcPr>
            <w:tcW w:w="4734"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bidi="ar"/>
              </w:rPr>
              <w:t>城市地下工程实用技术</w:t>
            </w:r>
          </w:p>
        </w:tc>
        <w:tc>
          <w:tcPr>
            <w:tcW w:w="1011"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bidi="ar"/>
              </w:rPr>
              <w:t>洪宝宁</w:t>
            </w:r>
          </w:p>
        </w:tc>
        <w:tc>
          <w:tcPr>
            <w:tcW w:w="1365"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规划教材</w:t>
            </w:r>
          </w:p>
        </w:tc>
        <w:tc>
          <w:tcPr>
            <w:tcW w:w="4734"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bidi="ar"/>
              </w:rPr>
              <w:t>计算机控制理论与应用</w:t>
            </w:r>
          </w:p>
        </w:tc>
        <w:tc>
          <w:tcPr>
            <w:tcW w:w="1011"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bidi="ar"/>
              </w:rPr>
              <w:t>孙黎霞</w:t>
            </w:r>
          </w:p>
        </w:tc>
        <w:tc>
          <w:tcPr>
            <w:tcW w:w="1365"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规划教材</w:t>
            </w:r>
          </w:p>
        </w:tc>
        <w:tc>
          <w:tcPr>
            <w:tcW w:w="4734"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bidi="ar"/>
              </w:rPr>
              <w:t>遥感地学应用原理与分析</w:t>
            </w:r>
          </w:p>
        </w:tc>
        <w:tc>
          <w:tcPr>
            <w:tcW w:w="101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杨英宝</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bidi="ar"/>
              </w:rPr>
              <w:t>潘</w:t>
            </w:r>
            <w:r>
              <w:rPr>
                <w:rFonts w:hint="eastAsia" w:ascii="仿宋_GB2312" w:hAnsi="仿宋_GB2312" w:eastAsia="仿宋_GB2312" w:cs="仿宋_GB2312"/>
                <w:color w:val="000000"/>
                <w:kern w:val="0"/>
                <w:sz w:val="28"/>
                <w:szCs w:val="28"/>
                <w:lang w:val="en-US" w:eastAsia="zh-CN" w:bidi="ar"/>
              </w:rPr>
              <w:t xml:space="preserve">  </w:t>
            </w:r>
            <w:r>
              <w:rPr>
                <w:rFonts w:hint="eastAsia" w:ascii="仿宋_GB2312" w:hAnsi="仿宋_GB2312" w:eastAsia="仿宋_GB2312" w:cs="仿宋_GB2312"/>
                <w:color w:val="000000"/>
                <w:kern w:val="0"/>
                <w:sz w:val="28"/>
                <w:szCs w:val="28"/>
                <w:lang w:bidi="ar"/>
              </w:rPr>
              <w:t>鑫</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规划教材</w:t>
            </w:r>
          </w:p>
        </w:tc>
        <w:tc>
          <w:tcPr>
            <w:tcW w:w="4734"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bidi="ar"/>
              </w:rPr>
              <w:t>水利数学</w:t>
            </w:r>
          </w:p>
        </w:tc>
        <w:tc>
          <w:tcPr>
            <w:tcW w:w="101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叶国菊</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eastAsia="zh-CN" w:bidi="ar"/>
              </w:rPr>
              <w:t>周忠国</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规划教材</w:t>
            </w:r>
          </w:p>
        </w:tc>
        <w:tc>
          <w:tcPr>
            <w:tcW w:w="4734"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bidi="ar"/>
              </w:rPr>
              <w:t>管理信息系统</w:t>
            </w:r>
          </w:p>
        </w:tc>
        <w:tc>
          <w:tcPr>
            <w:tcW w:w="1011"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bidi="ar"/>
              </w:rPr>
              <w:t>李</w:t>
            </w:r>
            <w:r>
              <w:rPr>
                <w:rFonts w:hint="eastAsia" w:ascii="仿宋_GB2312" w:hAnsi="仿宋_GB2312" w:eastAsia="仿宋_GB2312" w:cs="仿宋_GB2312"/>
                <w:color w:val="000000"/>
                <w:kern w:val="0"/>
                <w:sz w:val="28"/>
                <w:szCs w:val="28"/>
                <w:lang w:val="en-US" w:eastAsia="zh-CN" w:bidi="ar"/>
              </w:rPr>
              <w:t xml:space="preserve">  </w:t>
            </w:r>
            <w:r>
              <w:rPr>
                <w:rFonts w:hint="eastAsia" w:ascii="仿宋_GB2312" w:hAnsi="仿宋_GB2312" w:eastAsia="仿宋_GB2312" w:cs="仿宋_GB2312"/>
                <w:color w:val="000000"/>
                <w:kern w:val="0"/>
                <w:sz w:val="28"/>
                <w:szCs w:val="28"/>
                <w:lang w:bidi="ar"/>
              </w:rPr>
              <w:t>明</w:t>
            </w:r>
          </w:p>
        </w:tc>
        <w:tc>
          <w:tcPr>
            <w:tcW w:w="1365"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规划教材</w:t>
            </w:r>
          </w:p>
        </w:tc>
        <w:tc>
          <w:tcPr>
            <w:tcW w:w="4734"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bidi="ar"/>
              </w:rPr>
              <w:t>设计认知</w:t>
            </w:r>
          </w:p>
        </w:tc>
        <w:tc>
          <w:tcPr>
            <w:tcW w:w="1011"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bidi="ar"/>
              </w:rPr>
              <w:t>吴晓莉</w:t>
            </w:r>
          </w:p>
        </w:tc>
        <w:tc>
          <w:tcPr>
            <w:tcW w:w="1365"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在线课程</w:t>
            </w:r>
          </w:p>
        </w:tc>
        <w:tc>
          <w:tcPr>
            <w:tcW w:w="4734"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bidi="ar"/>
              </w:rPr>
              <w:t>水文随机分析</w:t>
            </w:r>
          </w:p>
        </w:tc>
        <w:tc>
          <w:tcPr>
            <w:tcW w:w="101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8"/>
                <w:szCs w:val="28"/>
                <w:lang w:bidi="ar"/>
              </w:rPr>
            </w:pPr>
            <w:r>
              <w:rPr>
                <w:rFonts w:hint="eastAsia" w:ascii="仿宋_GB2312" w:hAnsi="仿宋_GB2312" w:eastAsia="仿宋_GB2312" w:cs="仿宋_GB2312"/>
                <w:color w:val="000000"/>
                <w:kern w:val="0"/>
                <w:sz w:val="28"/>
                <w:szCs w:val="28"/>
                <w:lang w:bidi="ar"/>
              </w:rPr>
              <w:t>陈元芳</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bidi="ar"/>
              </w:rPr>
              <w:t>黄</w:t>
            </w:r>
            <w:r>
              <w:rPr>
                <w:rFonts w:hint="eastAsia" w:ascii="仿宋_GB2312" w:hAnsi="仿宋_GB2312" w:eastAsia="仿宋_GB2312" w:cs="仿宋_GB2312"/>
                <w:color w:val="000000"/>
                <w:kern w:val="0"/>
                <w:sz w:val="28"/>
                <w:szCs w:val="28"/>
                <w:lang w:val="en-US" w:eastAsia="zh-CN" w:bidi="ar"/>
              </w:rPr>
              <w:t xml:space="preserve">  </w:t>
            </w:r>
            <w:r>
              <w:rPr>
                <w:rFonts w:hint="eastAsia" w:ascii="仿宋_GB2312" w:hAnsi="仿宋_GB2312" w:eastAsia="仿宋_GB2312" w:cs="仿宋_GB2312"/>
                <w:color w:val="000000"/>
                <w:kern w:val="0"/>
                <w:sz w:val="28"/>
                <w:szCs w:val="28"/>
                <w:lang w:bidi="ar"/>
              </w:rPr>
              <w:t>琴</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在线课程</w:t>
            </w:r>
          </w:p>
        </w:tc>
        <w:tc>
          <w:tcPr>
            <w:tcW w:w="4734"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bidi="ar"/>
              </w:rPr>
              <w:t>水资源规划与管理</w:t>
            </w:r>
          </w:p>
        </w:tc>
        <w:tc>
          <w:tcPr>
            <w:tcW w:w="1011"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bidi="ar"/>
              </w:rPr>
              <w:t>董增川</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9"/>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在线课程</w:t>
            </w:r>
          </w:p>
        </w:tc>
        <w:tc>
          <w:tcPr>
            <w:tcW w:w="4734"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bidi="ar"/>
              </w:rPr>
              <w:t>多元统计分析</w:t>
            </w:r>
          </w:p>
        </w:tc>
        <w:tc>
          <w:tcPr>
            <w:tcW w:w="1011"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bidi="ar"/>
              </w:rPr>
              <w:t>朱永忠</w:t>
            </w:r>
          </w:p>
        </w:tc>
        <w:tc>
          <w:tcPr>
            <w:tcW w:w="1365"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在线课程</w:t>
            </w:r>
          </w:p>
        </w:tc>
        <w:tc>
          <w:tcPr>
            <w:tcW w:w="4734"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bidi="ar"/>
              </w:rPr>
              <w:t>实用数值分析</w:t>
            </w:r>
          </w:p>
        </w:tc>
        <w:tc>
          <w:tcPr>
            <w:tcW w:w="1011"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bidi="ar"/>
              </w:rPr>
              <w:t>张学莹</w:t>
            </w:r>
          </w:p>
        </w:tc>
        <w:tc>
          <w:tcPr>
            <w:tcW w:w="1365"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教改课题</w:t>
            </w:r>
          </w:p>
        </w:tc>
        <w:tc>
          <w:tcPr>
            <w:tcW w:w="473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土木水利类专业学位硕士研究生培养模式改革与实践研究</w:t>
            </w:r>
          </w:p>
        </w:tc>
        <w:tc>
          <w:tcPr>
            <w:tcW w:w="10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 xml:space="preserve">方国华  </w:t>
            </w:r>
            <w:r>
              <w:rPr>
                <w:rFonts w:hint="eastAsia" w:ascii="仿宋_GB2312" w:hAnsi="仿宋_GB2312" w:eastAsia="仿宋_GB2312" w:cs="仿宋_GB2312"/>
                <w:color w:val="000000"/>
                <w:kern w:val="0"/>
                <w:sz w:val="28"/>
                <w:szCs w:val="28"/>
                <w:lang w:val="en-US" w:eastAsia="zh-CN" w:bidi="ar"/>
              </w:rPr>
              <w:br w:type="textWrapping"/>
            </w:r>
            <w:r>
              <w:rPr>
                <w:rFonts w:hint="eastAsia" w:ascii="仿宋_GB2312" w:hAnsi="仿宋_GB2312" w:eastAsia="仿宋_GB2312" w:cs="仿宋_GB2312"/>
                <w:color w:val="000000"/>
                <w:kern w:val="0"/>
                <w:sz w:val="28"/>
                <w:szCs w:val="28"/>
                <w:lang w:val="en-US" w:eastAsia="zh-CN" w:bidi="ar"/>
              </w:rPr>
              <w:t>周  昶</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教改课题</w:t>
            </w:r>
          </w:p>
        </w:tc>
        <w:tc>
          <w:tcPr>
            <w:tcW w:w="473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基于“GIS+X”理念的水利地理信息人才培养的创新与实践</w:t>
            </w:r>
          </w:p>
        </w:tc>
        <w:tc>
          <w:tcPr>
            <w:tcW w:w="10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张晓祥</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教改课题</w:t>
            </w:r>
          </w:p>
        </w:tc>
        <w:tc>
          <w:tcPr>
            <w:tcW w:w="473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“学习-共进-报国”三相一体化的岩土工程研究生培养模式研究</w:t>
            </w:r>
          </w:p>
        </w:tc>
        <w:tc>
          <w:tcPr>
            <w:tcW w:w="10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8"/>
                <w:szCs w:val="28"/>
                <w:highlight w:val="none"/>
                <w:lang w:val="en-US" w:eastAsia="zh-CN" w:bidi="ar"/>
              </w:rPr>
            </w:pPr>
            <w:r>
              <w:rPr>
                <w:rFonts w:hint="eastAsia" w:ascii="仿宋_GB2312" w:hAnsi="仿宋_GB2312" w:eastAsia="仿宋_GB2312" w:cs="仿宋_GB2312"/>
                <w:color w:val="000000"/>
                <w:kern w:val="0"/>
                <w:sz w:val="28"/>
                <w:szCs w:val="28"/>
                <w:highlight w:val="none"/>
                <w:lang w:val="en-US" w:eastAsia="zh-CN" w:bidi="ar"/>
              </w:rPr>
              <w:t>陈  亮</w:t>
            </w:r>
            <w:r>
              <w:rPr>
                <w:rFonts w:hint="eastAsia" w:ascii="仿宋_GB2312" w:hAnsi="仿宋_GB2312" w:eastAsia="仿宋_GB2312" w:cs="仿宋_GB2312"/>
                <w:color w:val="000000"/>
                <w:kern w:val="0"/>
                <w:sz w:val="28"/>
                <w:szCs w:val="28"/>
                <w:highlight w:val="none"/>
                <w:lang w:val="en-US" w:eastAsia="zh-CN" w:bidi="ar"/>
              </w:rPr>
              <w:br w:type="textWrapping"/>
            </w:r>
            <w:r>
              <w:rPr>
                <w:rFonts w:hint="eastAsia" w:ascii="仿宋_GB2312" w:hAnsi="仿宋_GB2312" w:eastAsia="仿宋_GB2312" w:cs="仿宋_GB2312"/>
                <w:color w:val="000000"/>
                <w:kern w:val="0"/>
                <w:sz w:val="28"/>
                <w:szCs w:val="28"/>
                <w:highlight w:val="none"/>
                <w:lang w:val="en-US" w:eastAsia="zh-CN" w:bidi="ar"/>
              </w:rPr>
              <w:t>高玉峰</w:t>
            </w:r>
          </w:p>
        </w:tc>
        <w:tc>
          <w:tcPr>
            <w:tcW w:w="1365"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教改课题</w:t>
            </w:r>
          </w:p>
        </w:tc>
        <w:tc>
          <w:tcPr>
            <w:tcW w:w="473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“水脉”视阈下新时代研究生教育改革发展研究与探索</w:t>
            </w:r>
          </w:p>
        </w:tc>
        <w:tc>
          <w:tcPr>
            <w:tcW w:w="10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赵  倩</w:t>
            </w:r>
            <w:r>
              <w:rPr>
                <w:rFonts w:hint="eastAsia" w:ascii="仿宋_GB2312" w:hAnsi="仿宋_GB2312" w:eastAsia="仿宋_GB2312" w:cs="仿宋_GB2312"/>
                <w:color w:val="000000"/>
                <w:kern w:val="0"/>
                <w:sz w:val="28"/>
                <w:szCs w:val="28"/>
                <w:lang w:val="en-US" w:eastAsia="zh-CN" w:bidi="ar"/>
              </w:rPr>
              <w:br w:type="textWrapping"/>
            </w:r>
            <w:r>
              <w:rPr>
                <w:rFonts w:hint="eastAsia" w:ascii="仿宋_GB2312" w:hAnsi="仿宋_GB2312" w:eastAsia="仿宋_GB2312" w:cs="仿宋_GB2312"/>
                <w:color w:val="000000"/>
                <w:kern w:val="0"/>
                <w:sz w:val="28"/>
                <w:szCs w:val="28"/>
                <w:lang w:val="en-US" w:eastAsia="zh-CN" w:bidi="ar"/>
              </w:rPr>
              <w:t>张  婧</w:t>
            </w:r>
          </w:p>
        </w:tc>
        <w:tc>
          <w:tcPr>
            <w:tcW w:w="1365"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教改课题</w:t>
            </w:r>
          </w:p>
        </w:tc>
        <w:tc>
          <w:tcPr>
            <w:tcW w:w="473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校企深度融合的水利工程专业学位研究生培养机制探索与实践</w:t>
            </w:r>
          </w:p>
        </w:tc>
        <w:tc>
          <w:tcPr>
            <w:tcW w:w="10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江朝华</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教改课题</w:t>
            </w:r>
          </w:p>
        </w:tc>
        <w:tc>
          <w:tcPr>
            <w:tcW w:w="473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“21世纪海上丝绸之路”背景下的海洋可再生能源工程高层次应用型人才培养方案思考与建设</w:t>
            </w:r>
          </w:p>
        </w:tc>
        <w:tc>
          <w:tcPr>
            <w:tcW w:w="10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彭  伟</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9"/>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教改课题</w:t>
            </w:r>
          </w:p>
        </w:tc>
        <w:tc>
          <w:tcPr>
            <w:tcW w:w="473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“新工科”背景下信息学科研究生跨学科人才培养模式的探索</w:t>
            </w:r>
          </w:p>
        </w:tc>
        <w:tc>
          <w:tcPr>
            <w:tcW w:w="10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毛莺池</w:t>
            </w:r>
          </w:p>
        </w:tc>
        <w:tc>
          <w:tcPr>
            <w:tcW w:w="1365"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教改课题</w:t>
            </w:r>
          </w:p>
        </w:tc>
        <w:tc>
          <w:tcPr>
            <w:tcW w:w="473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基于胜任力模型的研究生导师队伍培训机制创新研究</w:t>
            </w:r>
          </w:p>
        </w:tc>
        <w:tc>
          <w:tcPr>
            <w:tcW w:w="10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程晓娟</w:t>
            </w:r>
          </w:p>
        </w:tc>
        <w:tc>
          <w:tcPr>
            <w:tcW w:w="1365"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教改课题</w:t>
            </w:r>
          </w:p>
        </w:tc>
        <w:tc>
          <w:tcPr>
            <w:tcW w:w="473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“一带一路”战略背景下高校国外留学研究生培养新模式探究</w:t>
            </w:r>
          </w:p>
        </w:tc>
        <w:tc>
          <w:tcPr>
            <w:tcW w:w="10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杨英宝</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教改课题</w:t>
            </w:r>
          </w:p>
        </w:tc>
        <w:tc>
          <w:tcPr>
            <w:tcW w:w="473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“一体化”视域下本硕博思政课分层递进教学研究</w:t>
            </w:r>
          </w:p>
        </w:tc>
        <w:tc>
          <w:tcPr>
            <w:tcW w:w="10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郑黎明</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教改课题</w:t>
            </w:r>
          </w:p>
        </w:tc>
        <w:tc>
          <w:tcPr>
            <w:tcW w:w="473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突发公共卫生事件下研究生 网络思想政治教育的主要矛盾和实现路径研究</w:t>
            </w:r>
          </w:p>
        </w:tc>
        <w:tc>
          <w:tcPr>
            <w:tcW w:w="10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杨  勇</w:t>
            </w:r>
          </w:p>
        </w:tc>
        <w:tc>
          <w:tcPr>
            <w:tcW w:w="1365"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教改课题</w:t>
            </w:r>
          </w:p>
        </w:tc>
        <w:tc>
          <w:tcPr>
            <w:tcW w:w="473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工程硕士专业学位研究生案例课程建设与改革</w:t>
            </w:r>
          </w:p>
        </w:tc>
        <w:tc>
          <w:tcPr>
            <w:tcW w:w="10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魏继红</w:t>
            </w:r>
          </w:p>
        </w:tc>
        <w:tc>
          <w:tcPr>
            <w:tcW w:w="1365"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教改课题</w:t>
            </w:r>
          </w:p>
        </w:tc>
        <w:tc>
          <w:tcPr>
            <w:tcW w:w="473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立德树人，质量导向，专业学位研究生基地导师指导能力提升体系的研究与实践</w:t>
            </w:r>
          </w:p>
        </w:tc>
        <w:tc>
          <w:tcPr>
            <w:tcW w:w="10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俞  晨</w:t>
            </w:r>
            <w:r>
              <w:rPr>
                <w:rFonts w:hint="eastAsia" w:ascii="仿宋_GB2312" w:hAnsi="仿宋_GB2312" w:eastAsia="仿宋_GB2312" w:cs="仿宋_GB2312"/>
                <w:color w:val="000000"/>
                <w:kern w:val="0"/>
                <w:sz w:val="28"/>
                <w:szCs w:val="28"/>
                <w:lang w:val="en-US" w:eastAsia="zh-CN" w:bidi="ar"/>
              </w:rPr>
              <w:br w:type="textWrapping"/>
            </w:r>
            <w:r>
              <w:rPr>
                <w:rFonts w:hint="eastAsia" w:ascii="仿宋_GB2312" w:hAnsi="仿宋_GB2312" w:eastAsia="仿宋_GB2312" w:cs="仿宋_GB2312"/>
                <w:color w:val="000000"/>
                <w:kern w:val="0"/>
                <w:sz w:val="28"/>
                <w:szCs w:val="28"/>
                <w:lang w:val="en-US" w:eastAsia="zh-CN" w:bidi="ar"/>
              </w:rPr>
              <w:t>赵  倩</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教改课题</w:t>
            </w:r>
          </w:p>
        </w:tc>
        <w:tc>
          <w:tcPr>
            <w:tcW w:w="473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学科融合中的研究生培养探索实践</w:t>
            </w:r>
          </w:p>
        </w:tc>
        <w:tc>
          <w:tcPr>
            <w:tcW w:w="10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唐春梅</w:t>
            </w:r>
          </w:p>
        </w:tc>
        <w:tc>
          <w:tcPr>
            <w:tcW w:w="136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9"/>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教改课题</w:t>
            </w:r>
          </w:p>
        </w:tc>
        <w:tc>
          <w:tcPr>
            <w:tcW w:w="473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海洋科学学科研究生课程体系探索与研究</w:t>
            </w:r>
          </w:p>
        </w:tc>
        <w:tc>
          <w:tcPr>
            <w:tcW w:w="10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白学志</w:t>
            </w:r>
          </w:p>
        </w:tc>
        <w:tc>
          <w:tcPr>
            <w:tcW w:w="1365"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706" w:type="dxa"/>
            <w:noWrap w:val="0"/>
            <w:vAlign w:val="center"/>
          </w:tcPr>
          <w:p>
            <w:pPr>
              <w:widowControl/>
              <w:numPr>
                <w:ilvl w:val="0"/>
                <w:numId w:val="1"/>
              </w:numPr>
              <w:tabs>
                <w:tab w:val="left" w:pos="220"/>
                <w:tab w:val="clear" w:pos="397"/>
              </w:tabs>
              <w:ind w:left="664" w:leftChars="0" w:hanging="454" w:firstLineChars="0"/>
              <w:jc w:val="center"/>
              <w:textAlignment w:val="center"/>
              <w:rPr>
                <w:rFonts w:hint="eastAsia" w:ascii="仿宋_GB2312" w:hAnsi="仿宋_GB2312" w:eastAsia="仿宋_GB2312" w:cs="仿宋_GB2312"/>
                <w:color w:val="000000"/>
                <w:kern w:val="0"/>
                <w:sz w:val="28"/>
                <w:szCs w:val="28"/>
                <w:lang w:val="en-US" w:eastAsia="zh-CN" w:bidi="ar"/>
              </w:rPr>
            </w:pPr>
          </w:p>
        </w:tc>
        <w:tc>
          <w:tcPr>
            <w:tcW w:w="1260"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教改课题</w:t>
            </w:r>
          </w:p>
        </w:tc>
        <w:tc>
          <w:tcPr>
            <w:tcW w:w="473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双一流背景下公共管理类研究生教科研一体化教学改革研究</w:t>
            </w:r>
          </w:p>
        </w:tc>
        <w:tc>
          <w:tcPr>
            <w:tcW w:w="101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郭剑平</w:t>
            </w:r>
          </w:p>
        </w:tc>
        <w:tc>
          <w:tcPr>
            <w:tcW w:w="1365" w:type="dxa"/>
            <w:noWrap w:val="0"/>
            <w:vAlign w:val="center"/>
          </w:tcPr>
          <w:p>
            <w:pPr>
              <w:jc w:val="center"/>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通过</w:t>
            </w:r>
          </w:p>
        </w:tc>
      </w:tr>
    </w:tbl>
    <w:p>
      <w:pPr>
        <w:tabs>
          <w:tab w:val="left" w:pos="712"/>
        </w:tabs>
        <w:bidi w:val="0"/>
        <w:jc w:val="left"/>
        <w:rPr>
          <w:rFonts w:hint="eastAsia"/>
          <w:lang w:val="en-US" w:eastAsia="zh-CN"/>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345B06"/>
    <w:multiLevelType w:val="singleLevel"/>
    <w:tmpl w:val="6E345B06"/>
    <w:lvl w:ilvl="0" w:tentative="0">
      <w:start w:val="1"/>
      <w:numFmt w:val="decimal"/>
      <w:lvlText w:val="%1"/>
      <w:lvlJc w:val="left"/>
      <w:pPr>
        <w:tabs>
          <w:tab w:val="left" w:pos="397"/>
        </w:tabs>
        <w:ind w:left="664" w:leftChars="0" w:hanging="454" w:firstLineChars="0"/>
      </w:pPr>
      <w:rPr>
        <w:rFonts w:hint="default" w:ascii="宋体" w:hAnsi="宋体" w:eastAsia="宋体" w:cs="宋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21A"/>
    <w:rsid w:val="00FA42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2021-04-14T07:01:00Z</dcterms:created>
  <dc:creator>撒腿儿的兔</dc:creator>
  <cp:lastModifiedBy>撒腿儿的兔</cp:lastModifiedBy>
  <dcterms:modified xsi:type="dcterms:W3CDTF">2021-04-14T07:02:14Z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8663105B8962475C9519C3C5BFA193AD</vt:lpwstr>
  </property>
</Properties>
</file>