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textAlignment w:val="auto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eastAsia="zh-CN"/>
        </w:rPr>
        <w:t>附件</w:t>
      </w: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活动日程及说明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1840" w:leftChars="0" w:right="0" w:hanging="1840" w:hangingChars="575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一、活动日程</w:t>
      </w:r>
    </w:p>
    <w:tbl>
      <w:tblPr>
        <w:tblStyle w:val="3"/>
        <w:tblpPr w:leftFromText="180" w:rightFromText="180" w:vertAnchor="text" w:horzAnchor="page" w:tblpXSpec="center" w:tblpY="1751"/>
        <w:tblOverlap w:val="never"/>
        <w:tblW w:w="8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719"/>
        <w:gridCol w:w="1395"/>
        <w:gridCol w:w="4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</w:rPr>
              <w:t>主讲</w:t>
            </w:r>
          </w:p>
        </w:tc>
        <w:tc>
          <w:tcPr>
            <w:tcW w:w="44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8"/>
                <w:szCs w:val="28"/>
                <w:lang w:eastAsia="zh-CN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5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pacing w:val="-35"/>
                <w:sz w:val="28"/>
                <w:szCs w:val="28"/>
              </w:rPr>
              <w:t xml:space="preserve">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（周五）</w:t>
            </w: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9:00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10:00</w:t>
            </w:r>
          </w:p>
        </w:tc>
        <w:tc>
          <w:tcPr>
            <w:tcW w:w="1395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国家留学基金管理委员会</w:t>
            </w: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国家公派出国留学政策解读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10:20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12:00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国家建设高水平大学公派研究生项目介绍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14:00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15:00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欧洲及亚洲国家/地区国家公派项目介绍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15:10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16:10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美洲、大洋洲国家/地区国家公派项目介绍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16:20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17:20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研究生类项目介绍（自费留学）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7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pacing w:val="-35"/>
                <w:sz w:val="28"/>
                <w:szCs w:val="28"/>
              </w:rPr>
              <w:t xml:space="preserve">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（周六）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_GB2312"/>
                <w:spacing w:val="-45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pacing w:val="-42"/>
                <w:sz w:val="28"/>
                <w:szCs w:val="28"/>
              </w:rPr>
              <w:t xml:space="preserve"> 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（周日）</w:t>
            </w: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8:00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12:00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21"/>
                <w:sz w:val="28"/>
                <w:szCs w:val="28"/>
              </w:rPr>
              <w:t>国外高校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  <w:spacing w:val="56"/>
                <w:sz w:val="28"/>
                <w:szCs w:val="28"/>
              </w:rPr>
              <w:t>科研机构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76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50"/>
                <w:sz w:val="28"/>
                <w:szCs w:val="28"/>
              </w:rPr>
              <w:t>具体时</w:t>
            </w:r>
            <w:r>
              <w:rPr>
                <w:rFonts w:hint="eastAsia" w:ascii="Times New Roman" w:hAnsi="Times New Roman" w:eastAsia="仿宋_GB2312" w:cs="仿宋_GB2312"/>
                <w:spacing w:val="56"/>
                <w:sz w:val="28"/>
                <w:szCs w:val="28"/>
              </w:rPr>
              <w:t>间段见附</w:t>
            </w:r>
            <w:r>
              <w:rPr>
                <w:rFonts w:hint="eastAsia" w:ascii="Times New Roman" w:hAnsi="Times New Roman" w:eastAsia="仿宋_GB2312" w:cs="仿宋_GB2312"/>
                <w:spacing w:val="-8"/>
                <w:sz w:val="28"/>
                <w:szCs w:val="28"/>
              </w:rPr>
              <w:t xml:space="preserve">件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2）</w:t>
            </w: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学校介绍及招生政策宣传（1 小时）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学生面对面咨询（3 小时）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校际交流（3 小时）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12:30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16:30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学校介绍及招生政策宣传（1 小时）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学生面对面咨询（3 小时）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校际交流（3 小时）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135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17:00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21:00</w:t>
            </w:r>
          </w:p>
        </w:tc>
        <w:tc>
          <w:tcPr>
            <w:tcW w:w="139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441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学校介绍及招生政策宣传（1 小时） 学生面对面咨询（3 小时）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ind w:left="0" w:right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校际交流（3 小时）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sectPr>
          <w:pgSz w:w="11910" w:h="16840"/>
          <w:pgMar w:top="1440" w:right="1800" w:bottom="1440" w:left="1800" w:header="720" w:footer="720" w:gutter="0"/>
        </w:sect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2020 年线上国际研究生奖学金信息说明会将于11月13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-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15日举办，此次共有来自14个国家的37家高等院校/科研机构参加，活动具体日程如下：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1840" w:leftChars="0" w:right="0" w:hanging="1840" w:hangingChars="575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二、相关说明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（一）活动形式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28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-3"/>
          <w:kern w:val="2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_GB2312" w:cs="仿宋_GB2312"/>
          <w:spacing w:val="-3"/>
          <w:kern w:val="2"/>
          <w:sz w:val="32"/>
          <w:szCs w:val="32"/>
          <w:lang w:val="zh-CN" w:eastAsia="zh-CN" w:bidi="zh-CN"/>
        </w:rPr>
        <w:t>本次活动采取“线上+线下”的方式，分为三部分：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left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>1.国家公派出国留学政策解读及项目宣讲（13日）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628" w:firstLineChars="200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国家留学基金委为主讲方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，我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校组织学生线下统一观看宣讲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（按照疫情防控要求，参与集中观看的研究生限额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highlight w:val="yellow"/>
          <w:lang w:val="en-US" w:eastAsia="zh-CN"/>
        </w:rPr>
        <w:t>150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名，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地点闻天馆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113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并可视情况参与答疑互动。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无法参加集中观看的同学可通过直播平台收看。活动结束后可观看视频回放。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rightChars="0"/>
        <w:jc w:val="left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组织国外高校/科研机构介绍其留学资讯及招生政策、要求（14、15日）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国外高校/科研机构为主讲方，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我校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作为该国外高校视频会议的分会场，组织研究生集中观看及互动（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按照疫情防控要求，参与集中观看的同学限额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highlight w:val="yellow"/>
          <w:lang w:val="en-US" w:eastAsia="zh-CN"/>
        </w:rPr>
        <w:t>150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名，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具体地点另行通知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）。未能参加集中观看的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，可自行通过直播平台收看，或可于活动结束后观看回放。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/>
        <w:jc w:val="left"/>
        <w:textAlignment w:val="auto"/>
        <w:rPr>
          <w:rFonts w:hint="eastAsia" w:ascii="Times New Roman" w:hAnsi="Times New Roman" w:eastAsia="仿宋_GB2312" w:cs="仿宋_GB2312"/>
          <w:b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/>
          <w:sz w:val="32"/>
          <w:szCs w:val="32"/>
        </w:rPr>
        <w:t>国外高校/科研机构与国内学生的面对面咨询（14、15日）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在国外高校/科研机构的视频宣讲结束后，报名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面对面咨询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的同学可进入国外高校视频会议室，与外方进行面对面咨询。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由于受时长和网络条件限制，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报名参加面对面咨询的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限额20人，且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面对面咨询将分组进行，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每组 5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7 名同专业大类的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同时进行咨询。若报名面对面咨询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超过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20人，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学校将根据对外联系、外语水平及绩点等实际情况进行筛选。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每位同学可选择 3 所高校进行咨询（为避免咨询高校过于集中，咨询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zh-CN" w:eastAsia="zh-CN"/>
        </w:rPr>
        <w:t>的3 个志愿高校须属不同国家）。由于此环节涉及学生个人信息，不安排直播及回放。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pacing w:val="-3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pacing w:val="-3"/>
          <w:sz w:val="32"/>
          <w:szCs w:val="32"/>
        </w:rPr>
        <w:t>（二）相关工作安排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请按要求在10月2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日（周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val="en-US" w:eastAsia="zh-CN"/>
        </w:rPr>
        <w:t>12:00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前反馈各报名表，由于国外高校可接受咨询的同学数量有限，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学校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将根据报名表反馈时间确定预约，外方咨询人数达最大量后将与同学沟通进行调剂。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right="0" w:rightChars="0" w:firstLine="628" w:firstLineChars="200"/>
        <w:jc w:val="both"/>
        <w:textAlignment w:val="auto"/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面对面咨询预约成功后，请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相关同学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确保按要求提前上线等待，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确保活动期间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自身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着装、语言等符合国际礼仪。错过时间的将不再重新安排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628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此次活动将使用“会畅会议”软件，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国家留学基金委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将于11月6日（周五）进行模拟测试（具体时间另行通知），请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报名同学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</w:rPr>
        <w:t>提前准备</w:t>
      </w:r>
      <w:r>
        <w:rPr>
          <w:rFonts w:hint="eastAsia" w:ascii="Times New Roman" w:hAnsi="Times New Roman" w:eastAsia="仿宋_GB2312" w:cs="仿宋_GB2312"/>
          <w:spacing w:val="-3"/>
          <w:sz w:val="32"/>
          <w:szCs w:val="32"/>
          <w:lang w:eastAsia="zh-CN"/>
        </w:rPr>
        <w:t>设备。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E2666"/>
    <w:rsid w:val="5FAE2666"/>
    <w:rsid w:val="662B0EC9"/>
    <w:rsid w:val="DFB9A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2020-10-16T17:03:00Z</dcterms:created>
  <dc:creator>flyyujing163com</dc:creator>
  <cp:lastModifiedBy>贾楠</cp:lastModifiedBy>
  <dcterms:modified xsi:type="dcterms:W3CDTF">2020-10-19T07:41:05Z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