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82285">
      <w:pPr>
        <w:jc w:val="center"/>
        <w:rPr>
          <w:rFonts w:hint="eastAsia"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eastAsia="方正小标宋简体"/>
          <w:sz w:val="28"/>
          <w:szCs w:val="28"/>
        </w:rPr>
        <w:t>-202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7</w:t>
      </w:r>
      <w:r>
        <w:rPr>
          <w:rFonts w:hint="eastAsia" w:ascii="方正小标宋简体" w:eastAsia="方正小标宋简体"/>
          <w:sz w:val="28"/>
          <w:szCs w:val="28"/>
        </w:rPr>
        <w:t>-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1</w:t>
      </w:r>
      <w:r>
        <w:rPr>
          <w:rFonts w:hint="eastAsia" w:ascii="方正小标宋简体" w:eastAsia="方正小标宋简体"/>
          <w:sz w:val="28"/>
          <w:szCs w:val="28"/>
        </w:rPr>
        <w:t>学期硕士留学生公共课课表</w:t>
      </w:r>
    </w:p>
    <w:tbl>
      <w:tblPr>
        <w:tblStyle w:val="8"/>
        <w:tblW w:w="51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1"/>
        <w:gridCol w:w="3032"/>
        <w:gridCol w:w="2581"/>
        <w:gridCol w:w="2578"/>
        <w:gridCol w:w="2643"/>
        <w:gridCol w:w="2389"/>
        <w:gridCol w:w="1118"/>
      </w:tblGrid>
      <w:tr w14:paraId="0A52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5" w:hRule="atLeast"/>
          <w:tblHeader/>
          <w:jc w:val="center"/>
        </w:trPr>
        <w:tc>
          <w:tcPr>
            <w:tcW w:w="314" w:type="pct"/>
            <w:tcBorders>
              <w:bottom w:val="single" w:color="auto" w:sz="4" w:space="0"/>
              <w:tl2br w:val="single" w:color="auto" w:sz="4" w:space="0"/>
            </w:tcBorders>
            <w:noWrap w:val="0"/>
            <w:vAlign w:val="top"/>
          </w:tcPr>
          <w:p w14:paraId="6B058B15">
            <w:pPr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</w:t>
            </w:r>
          </w:p>
          <w:p w14:paraId="4961E60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990" w:type="pct"/>
            <w:tcBorders>
              <w:bottom w:val="single" w:color="auto" w:sz="4" w:space="0"/>
            </w:tcBorders>
            <w:noWrap w:val="0"/>
            <w:vAlign w:val="center"/>
          </w:tcPr>
          <w:p w14:paraId="531F91D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843" w:type="pct"/>
            <w:tcBorders>
              <w:bottom w:val="single" w:color="auto" w:sz="4" w:space="0"/>
            </w:tcBorders>
            <w:noWrap w:val="0"/>
            <w:vAlign w:val="center"/>
          </w:tcPr>
          <w:p w14:paraId="4E706F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842" w:type="pct"/>
            <w:tcBorders>
              <w:bottom w:val="single" w:color="auto" w:sz="4" w:space="0"/>
            </w:tcBorders>
            <w:noWrap w:val="0"/>
            <w:vAlign w:val="center"/>
          </w:tcPr>
          <w:p w14:paraId="0C7559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863" w:type="pct"/>
            <w:tcBorders>
              <w:bottom w:val="single" w:color="auto" w:sz="4" w:space="0"/>
            </w:tcBorders>
            <w:noWrap w:val="0"/>
            <w:vAlign w:val="center"/>
          </w:tcPr>
          <w:p w14:paraId="1FE401E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780" w:type="pct"/>
            <w:tcBorders>
              <w:bottom w:val="single" w:color="auto" w:sz="4" w:space="0"/>
            </w:tcBorders>
            <w:noWrap w:val="0"/>
            <w:vAlign w:val="center"/>
          </w:tcPr>
          <w:p w14:paraId="731971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365" w:type="pct"/>
            <w:noWrap w:val="0"/>
            <w:vAlign w:val="center"/>
          </w:tcPr>
          <w:p w14:paraId="45CAAA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  注</w:t>
            </w:r>
          </w:p>
        </w:tc>
      </w:tr>
      <w:tr w14:paraId="567D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57" w:hRule="atLeast"/>
          <w:jc w:val="center"/>
        </w:trPr>
        <w:tc>
          <w:tcPr>
            <w:tcW w:w="314" w:type="pct"/>
            <w:tcBorders>
              <w:bottom w:val="single" w:color="auto" w:sz="4" w:space="0"/>
            </w:tcBorders>
            <w:noWrap w:val="0"/>
            <w:vAlign w:val="center"/>
          </w:tcPr>
          <w:p w14:paraId="7DC1BB1A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b/>
                <w:bCs/>
              </w:rPr>
              <w:t>1-2节</w:t>
            </w:r>
          </w:p>
        </w:tc>
        <w:tc>
          <w:tcPr>
            <w:tcW w:w="990" w:type="pct"/>
            <w:noWrap w:val="0"/>
            <w:vAlign w:val="top"/>
          </w:tcPr>
          <w:p w14:paraId="664A0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3" w:type="pct"/>
            <w:vMerge w:val="restart"/>
            <w:noWrap w:val="0"/>
            <w:vAlign w:val="top"/>
          </w:tcPr>
          <w:p w14:paraId="4AE7F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 w:val="0"/>
                <w:sz w:val="18"/>
                <w:szCs w:val="18"/>
                <w:lang w:val="en-US" w:eastAsia="zh-CN"/>
              </w:rPr>
              <w:t>高级管理学</w:t>
            </w:r>
          </w:p>
          <w:p w14:paraId="6479C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江宁校区</w:t>
            </w:r>
          </w:p>
          <w:p w14:paraId="39BD3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4-9周</w:t>
            </w:r>
          </w:p>
          <w:p w14:paraId="34108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1-4节</w:t>
            </w:r>
          </w:p>
          <w:p w14:paraId="4F7F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 xml:space="preserve">10-11周 </w:t>
            </w:r>
          </w:p>
          <w:p w14:paraId="66CC1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1-2节</w:t>
            </w:r>
          </w:p>
          <w:p w14:paraId="4D126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港航26s，工商26s，管科26s，社会学26s</w:t>
            </w:r>
          </w:p>
          <w:p w14:paraId="3B10A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张珣</w:t>
            </w:r>
          </w:p>
        </w:tc>
        <w:tc>
          <w:tcPr>
            <w:tcW w:w="842" w:type="pct"/>
            <w:noWrap w:val="0"/>
            <w:vAlign w:val="top"/>
          </w:tcPr>
          <w:p w14:paraId="69E72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</w:p>
        </w:tc>
        <w:tc>
          <w:tcPr>
            <w:tcW w:w="863" w:type="pct"/>
            <w:noWrap w:val="0"/>
            <w:vAlign w:val="top"/>
          </w:tcPr>
          <w:p w14:paraId="2EE39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高级管理学</w:t>
            </w:r>
          </w:p>
          <w:p w14:paraId="7B284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3E6E2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 xml:space="preserve">10-11周 </w:t>
            </w:r>
          </w:p>
          <w:p w14:paraId="4D070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1-2节</w:t>
            </w:r>
          </w:p>
          <w:p w14:paraId="34726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港航26s，工商26s，管科26s，社会学26s</w:t>
            </w:r>
          </w:p>
          <w:p w14:paraId="7CA2E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张珣</w:t>
            </w:r>
          </w:p>
        </w:tc>
        <w:tc>
          <w:tcPr>
            <w:tcW w:w="780" w:type="pct"/>
            <w:vMerge w:val="restart"/>
            <w:noWrap w:val="0"/>
            <w:vAlign w:val="top"/>
          </w:tcPr>
          <w:p w14:paraId="655C8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b/>
                <w:bCs/>
                <w:color w:val="auto"/>
                <w:lang w:bidi="ar"/>
              </w:rPr>
            </w:pPr>
            <w:r>
              <w:rPr>
                <w:rStyle w:val="13"/>
                <w:rFonts w:hint="default"/>
                <w:b/>
                <w:bCs/>
                <w:color w:val="auto"/>
                <w:lang w:bidi="ar"/>
              </w:rPr>
              <w:t>弹性力学</w:t>
            </w:r>
          </w:p>
          <w:p w14:paraId="161BE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lang w:bidi="ar"/>
              </w:rPr>
            </w:pPr>
            <w:r>
              <w:rPr>
                <w:rStyle w:val="13"/>
                <w:rFonts w:hint="default"/>
                <w:color w:val="auto"/>
                <w:lang w:bidi="ar"/>
              </w:rPr>
              <w:t>江宁校区</w:t>
            </w:r>
          </w:p>
          <w:p w14:paraId="55F92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lang w:bidi="ar"/>
              </w:rPr>
            </w:pPr>
            <w:r>
              <w:rPr>
                <w:rStyle w:val="13"/>
                <w:rFonts w:hint="default"/>
                <w:color w:val="auto"/>
                <w:lang w:bidi="ar"/>
              </w:rPr>
              <w:t>4-11周</w:t>
            </w:r>
          </w:p>
          <w:p w14:paraId="7E41C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lang w:bidi="ar"/>
              </w:rPr>
            </w:pPr>
            <w:r>
              <w:rPr>
                <w:rStyle w:val="13"/>
                <w:rFonts w:hint="default"/>
                <w:color w:val="auto"/>
                <w:lang w:bidi="ar"/>
              </w:rPr>
              <w:t>1-4节</w:t>
            </w:r>
          </w:p>
          <w:p w14:paraId="2DF56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lang w:bidi="ar"/>
              </w:rPr>
            </w:pPr>
            <w:r>
              <w:rPr>
                <w:rStyle w:val="13"/>
                <w:rFonts w:hint="default"/>
                <w:color w:val="auto"/>
                <w:lang w:bidi="ar"/>
              </w:rPr>
              <w:t>港航26s，土工26s，交通26s，力学26s</w:t>
            </w:r>
          </w:p>
          <w:p w14:paraId="68AF1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lang w:bidi="ar"/>
              </w:rPr>
            </w:pPr>
            <w:r>
              <w:rPr>
                <w:rStyle w:val="13"/>
                <w:rFonts w:hint="default"/>
                <w:color w:val="auto"/>
                <w:lang w:bidi="ar"/>
              </w:rPr>
              <w:t>汤华远</w:t>
            </w:r>
          </w:p>
        </w:tc>
        <w:tc>
          <w:tcPr>
            <w:tcW w:w="365" w:type="pct"/>
            <w:vMerge w:val="restart"/>
            <w:noWrap w:val="0"/>
            <w:vAlign w:val="top"/>
          </w:tcPr>
          <w:p w14:paraId="2C7AE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中国国情教育（水韵课堂）</w:t>
            </w:r>
          </w:p>
          <w:p w14:paraId="16312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全体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留学硕士生</w:t>
            </w:r>
          </w:p>
          <w:p w14:paraId="0B11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线上课程 开课时间另行通知</w:t>
            </w:r>
          </w:p>
          <w:p w14:paraId="1DDAC7A6">
            <w:pPr>
              <w:spacing w:before="156" w:beforeLines="50" w:line="220" w:lineRule="exact"/>
              <w:rPr>
                <w:rFonts w:hint="eastAsia" w:ascii="宋体" w:hAnsi="宋体"/>
                <w:sz w:val="18"/>
              </w:rPr>
            </w:pPr>
          </w:p>
          <w:p w14:paraId="5F4847DD">
            <w:pPr>
              <w:spacing w:line="220" w:lineRule="exact"/>
              <w:rPr>
                <w:rFonts w:hint="eastAsia" w:ascii="宋体" w:hAnsi="宋体"/>
                <w:sz w:val="18"/>
              </w:rPr>
            </w:pPr>
          </w:p>
          <w:p w14:paraId="010088BD"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 w14:paraId="0C10C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83" w:hRule="atLeast"/>
          <w:jc w:val="center"/>
        </w:trPr>
        <w:tc>
          <w:tcPr>
            <w:tcW w:w="314" w:type="pct"/>
            <w:tcBorders>
              <w:bottom w:val="single" w:color="auto" w:sz="4" w:space="0"/>
            </w:tcBorders>
            <w:noWrap w:val="0"/>
            <w:vAlign w:val="center"/>
          </w:tcPr>
          <w:p w14:paraId="6B40C2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3-5节</w:t>
            </w:r>
          </w:p>
        </w:tc>
        <w:tc>
          <w:tcPr>
            <w:tcW w:w="990" w:type="pct"/>
            <w:tcBorders>
              <w:bottom w:val="single" w:color="auto" w:sz="4" w:space="0"/>
            </w:tcBorders>
            <w:noWrap w:val="0"/>
            <w:vAlign w:val="top"/>
          </w:tcPr>
          <w:p w14:paraId="2D96B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lang w:val="en-US" w:eastAsia="zh-CN"/>
              </w:rPr>
              <w:t>流体力学</w:t>
            </w:r>
          </w:p>
          <w:p w14:paraId="26370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江宁校区</w:t>
            </w:r>
          </w:p>
          <w:p w14:paraId="1772C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4-8周</w:t>
            </w:r>
          </w:p>
          <w:p w14:paraId="3603C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3-5节</w:t>
            </w:r>
          </w:p>
          <w:p w14:paraId="534B7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9周</w:t>
            </w:r>
          </w:p>
          <w:p w14:paraId="7241B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3-4节</w:t>
            </w:r>
          </w:p>
          <w:p w14:paraId="2E658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港航26s，土工26s，力学26s</w:t>
            </w:r>
          </w:p>
          <w:p w14:paraId="3EA34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张淑君</w:t>
            </w:r>
          </w:p>
          <w:p w14:paraId="453F0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26153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lang w:val="en-US" w:eastAsia="zh-CN"/>
              </w:rPr>
              <w:t>有限元法</w:t>
            </w:r>
          </w:p>
          <w:p w14:paraId="7F62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江宁校区</w:t>
            </w:r>
          </w:p>
          <w:p w14:paraId="273FF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10-17周</w:t>
            </w:r>
          </w:p>
          <w:p w14:paraId="7541B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3-5节</w:t>
            </w:r>
          </w:p>
          <w:p w14:paraId="17194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港航26s，力学26s，物理26s，数学26s</w:t>
            </w:r>
          </w:p>
          <w:p w14:paraId="14D19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卞培良、刘兆玮、马致远</w:t>
            </w:r>
          </w:p>
        </w:tc>
        <w:tc>
          <w:tcPr>
            <w:tcW w:w="843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72163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842" w:type="pct"/>
            <w:tcBorders>
              <w:bottom w:val="single" w:color="auto" w:sz="4" w:space="0"/>
            </w:tcBorders>
            <w:noWrap w:val="0"/>
            <w:vAlign w:val="top"/>
          </w:tcPr>
          <w:p w14:paraId="317D1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lang w:val="en-US" w:eastAsia="zh-CN"/>
              </w:rPr>
              <w:t>数值分析</w:t>
            </w:r>
          </w:p>
          <w:p w14:paraId="35DC5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常州校区</w:t>
            </w:r>
          </w:p>
          <w:p w14:paraId="2921A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4-11周</w:t>
            </w:r>
          </w:p>
          <w:p w14:paraId="6A770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3-5节</w:t>
            </w:r>
          </w:p>
          <w:p w14:paraId="33455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再生能源26s，材料26s</w:t>
            </w:r>
          </w:p>
          <w:p w14:paraId="672E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李宝军</w:t>
            </w:r>
          </w:p>
        </w:tc>
        <w:tc>
          <w:tcPr>
            <w:tcW w:w="863" w:type="pct"/>
            <w:tcBorders>
              <w:bottom w:val="single" w:color="auto" w:sz="4" w:space="0"/>
            </w:tcBorders>
            <w:noWrap w:val="0"/>
            <w:vAlign w:val="top"/>
          </w:tcPr>
          <w:p w14:paraId="2977B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  <w:t>流体力学</w:t>
            </w:r>
          </w:p>
          <w:p w14:paraId="4ECC4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江宁校区</w:t>
            </w:r>
          </w:p>
          <w:p w14:paraId="34832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4-8周</w:t>
            </w:r>
          </w:p>
          <w:p w14:paraId="604BC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3-5节</w:t>
            </w:r>
          </w:p>
          <w:p w14:paraId="1675B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港航26s，土工26s，力学26s</w:t>
            </w:r>
          </w:p>
          <w:p w14:paraId="5D5F2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张淑君</w:t>
            </w:r>
          </w:p>
          <w:p w14:paraId="6E509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7E513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  <w:t>有限元法</w:t>
            </w:r>
          </w:p>
          <w:p w14:paraId="2EB42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江宁校区</w:t>
            </w:r>
          </w:p>
          <w:p w14:paraId="68B78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10-17周</w:t>
            </w:r>
          </w:p>
          <w:p w14:paraId="0F4AF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3-5节</w:t>
            </w:r>
          </w:p>
          <w:p w14:paraId="2815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港航26s，力学26s，物理26s，数学26s</w:t>
            </w:r>
          </w:p>
          <w:p w14:paraId="0B0E0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卞培良、刘兆玮、马致远</w:t>
            </w:r>
          </w:p>
        </w:tc>
        <w:tc>
          <w:tcPr>
            <w:tcW w:w="780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01169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65" w:type="pct"/>
            <w:vMerge w:val="continue"/>
            <w:noWrap w:val="0"/>
            <w:vAlign w:val="center"/>
          </w:tcPr>
          <w:p w14:paraId="6672A40F">
            <w:pPr>
              <w:spacing w:line="220" w:lineRule="exact"/>
              <w:rPr>
                <w:b/>
                <w:bCs/>
              </w:rPr>
            </w:pPr>
          </w:p>
        </w:tc>
      </w:tr>
      <w:tr w14:paraId="5803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5" w:hRule="atLeast"/>
          <w:jc w:val="center"/>
        </w:trPr>
        <w:tc>
          <w:tcPr>
            <w:tcW w:w="314" w:type="pct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7FF8892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6-7节</w:t>
            </w:r>
          </w:p>
        </w:tc>
        <w:tc>
          <w:tcPr>
            <w:tcW w:w="990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731CA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汉语I</w:t>
            </w:r>
          </w:p>
          <w:p w14:paraId="54F3B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0596A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4-15周</w:t>
            </w:r>
          </w:p>
          <w:p w14:paraId="0950F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6-9节</w:t>
            </w:r>
          </w:p>
          <w:p w14:paraId="29BDA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测绘26s,地资26s,工商26s,环科26s,交通26s,力学26s,数学26s,土工26s</w:t>
            </w:r>
          </w:p>
          <w:p w14:paraId="4C76A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刘寒之</w:t>
            </w:r>
          </w:p>
          <w:p w14:paraId="68AC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4FBF6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汉语I</w:t>
            </w:r>
          </w:p>
          <w:p w14:paraId="605EE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539F7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4-15周</w:t>
            </w:r>
          </w:p>
          <w:p w14:paraId="663D3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6-9节</w:t>
            </w:r>
          </w:p>
          <w:p w14:paraId="4DA40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动工26s,港航26s,管科26s,计算机26s,农工26s,社会学26s,水文26s,物理26s</w:t>
            </w:r>
          </w:p>
          <w:p w14:paraId="57E5D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杨志春</w:t>
            </w:r>
          </w:p>
          <w:p w14:paraId="12E3D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30C36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弹性力学</w:t>
            </w:r>
          </w:p>
          <w:p w14:paraId="79D9B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常州校区</w:t>
            </w:r>
          </w:p>
          <w:p w14:paraId="6F330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4-11周</w:t>
            </w:r>
          </w:p>
          <w:p w14:paraId="4B2D3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6-9节</w:t>
            </w:r>
          </w:p>
          <w:p w14:paraId="7F063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再生能源26s</w:t>
            </w:r>
          </w:p>
          <w:p w14:paraId="12230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汤华远</w:t>
            </w:r>
          </w:p>
        </w:tc>
        <w:tc>
          <w:tcPr>
            <w:tcW w:w="843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5D8D6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汉语I </w:t>
            </w:r>
          </w:p>
          <w:p w14:paraId="72F4C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常州校区</w:t>
            </w:r>
          </w:p>
          <w:p w14:paraId="19D5D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4-19周</w:t>
            </w:r>
          </w:p>
          <w:p w14:paraId="54823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6-8节</w:t>
            </w:r>
          </w:p>
          <w:p w14:paraId="59A7A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材料26s,信息26s,再生能源26s</w:t>
            </w:r>
          </w:p>
          <w:p w14:paraId="6140D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张兰</w:t>
            </w:r>
          </w:p>
          <w:p w14:paraId="66615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37DA4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论文写作指导</w:t>
            </w:r>
          </w:p>
          <w:p w14:paraId="5FE41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7EDCE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6-13周</w:t>
            </w:r>
          </w:p>
          <w:p w14:paraId="08329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6A967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力学26s，数学26s，工商26s，土工26s，测绘26s，交通26s，地资26s，港航26s，物理26s，环科26s，管科26s，水文26s，农工26s，社会学26s，计算机26s，动工26s</w:t>
            </w:r>
          </w:p>
          <w:p w14:paraId="1BEE4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傅卓佳，马致远，陈翰澍</w:t>
            </w:r>
          </w:p>
        </w:tc>
        <w:tc>
          <w:tcPr>
            <w:tcW w:w="842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5EDF8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数值分析</w:t>
            </w:r>
          </w:p>
          <w:p w14:paraId="67A7E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2A9DE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5-16周</w:t>
            </w:r>
          </w:p>
          <w:p w14:paraId="150B5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6-7节</w:t>
            </w:r>
          </w:p>
          <w:p w14:paraId="21C12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水文26s，港航26s，土工26s，交通26s，环科26s，动工26s，力学26s，测绘26s，地资26s，农工26s，数学26s</w:t>
            </w:r>
          </w:p>
          <w:p w14:paraId="660BB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钱江</w:t>
            </w:r>
          </w:p>
          <w:p w14:paraId="0E3B2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6FBFA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最优化方法</w:t>
            </w:r>
          </w:p>
          <w:p w14:paraId="3BB87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常州校区</w:t>
            </w:r>
          </w:p>
          <w:p w14:paraId="00D86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4-13周</w:t>
            </w:r>
          </w:p>
          <w:p w14:paraId="7F6BB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6-8节</w:t>
            </w:r>
          </w:p>
          <w:p w14:paraId="3F154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14周</w:t>
            </w:r>
          </w:p>
          <w:p w14:paraId="00496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6-7节</w:t>
            </w:r>
          </w:p>
          <w:p w14:paraId="5548A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信息26s，再生能源26s</w:t>
            </w:r>
          </w:p>
          <w:p w14:paraId="115E7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张斌武</w:t>
            </w:r>
          </w:p>
        </w:tc>
        <w:tc>
          <w:tcPr>
            <w:tcW w:w="863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1261F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高级经济学</w:t>
            </w:r>
          </w:p>
          <w:p w14:paraId="2E82F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3361D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4-11周</w:t>
            </w:r>
          </w:p>
          <w:p w14:paraId="59304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0A927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港航26s，工商26s，管科26s，社会学26s</w:t>
            </w:r>
          </w:p>
          <w:p w14:paraId="73DE8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徐章星</w:t>
            </w:r>
          </w:p>
          <w:p w14:paraId="5E79C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6DEB5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程序设计方法</w:t>
            </w:r>
          </w:p>
          <w:p w14:paraId="2A829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70755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12-19周</w:t>
            </w:r>
          </w:p>
          <w:p w14:paraId="60970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6C890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水文26s，港航26s，动工26s，计算机26s，物理26s，农工26s，数学26s</w:t>
            </w:r>
          </w:p>
          <w:p w14:paraId="20759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徐媛媛</w:t>
            </w:r>
          </w:p>
        </w:tc>
        <w:tc>
          <w:tcPr>
            <w:tcW w:w="780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21180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  <w:t>数值分析</w:t>
            </w:r>
          </w:p>
          <w:p w14:paraId="61A6C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江宁校区</w:t>
            </w:r>
          </w:p>
          <w:p w14:paraId="1FDBF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5-16周</w:t>
            </w:r>
          </w:p>
          <w:p w14:paraId="0D155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6-7节</w:t>
            </w:r>
          </w:p>
          <w:p w14:paraId="0C1AC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水文26s，港航26s，土工26s，交通26s，环科26s，动工26s，力学26s，测绘26s，地资26s，农工26s，数学26s</w:t>
            </w:r>
          </w:p>
          <w:p w14:paraId="456A8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钱江</w:t>
            </w:r>
          </w:p>
          <w:p w14:paraId="7DB09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45543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szCs w:val="18"/>
                <w:lang w:val="en-US" w:eastAsia="zh-CN"/>
              </w:rPr>
              <w:t>数值分析</w:t>
            </w:r>
          </w:p>
          <w:p w14:paraId="1A388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常州校区</w:t>
            </w:r>
          </w:p>
          <w:p w14:paraId="7E85E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4-11周</w:t>
            </w:r>
          </w:p>
          <w:p w14:paraId="670CF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6-8节</w:t>
            </w:r>
          </w:p>
          <w:p w14:paraId="50BF0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再生能源26s，材料26s</w:t>
            </w:r>
          </w:p>
          <w:p w14:paraId="08F36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李宝军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5612A24E"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</w:tc>
      </w:tr>
      <w:tr w14:paraId="0162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0" w:hRule="atLeast"/>
          <w:jc w:val="center"/>
        </w:trPr>
        <w:tc>
          <w:tcPr>
            <w:tcW w:w="314" w:type="pct"/>
            <w:noWrap w:val="0"/>
            <w:vAlign w:val="center"/>
          </w:tcPr>
          <w:p w14:paraId="780BC2F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8-9节</w:t>
            </w:r>
          </w:p>
        </w:tc>
        <w:tc>
          <w:tcPr>
            <w:tcW w:w="990" w:type="pct"/>
            <w:vMerge w:val="continue"/>
            <w:noWrap w:val="0"/>
            <w:vAlign w:val="top"/>
          </w:tcPr>
          <w:p w14:paraId="64697060">
            <w:pPr>
              <w:spacing w:line="220" w:lineRule="exact"/>
              <w:rPr>
                <w:rFonts w:hint="eastAsia" w:ascii="宋体" w:hAnsi="宋体"/>
                <w:sz w:val="18"/>
              </w:rPr>
            </w:pPr>
          </w:p>
        </w:tc>
        <w:tc>
          <w:tcPr>
            <w:tcW w:w="843" w:type="pct"/>
            <w:vMerge w:val="continue"/>
            <w:noWrap w:val="0"/>
            <w:vAlign w:val="top"/>
          </w:tcPr>
          <w:p w14:paraId="69AAEBA0">
            <w:pPr>
              <w:spacing w:line="220" w:lineRule="exact"/>
              <w:ind w:left="42" w:leftChars="20"/>
              <w:rPr>
                <w:rFonts w:hint="eastAsia" w:ascii="宋体" w:hAnsi="宋体"/>
                <w:sz w:val="18"/>
              </w:rPr>
            </w:pPr>
          </w:p>
        </w:tc>
        <w:tc>
          <w:tcPr>
            <w:tcW w:w="842" w:type="pct"/>
            <w:vMerge w:val="continue"/>
            <w:noWrap w:val="0"/>
            <w:vAlign w:val="top"/>
          </w:tcPr>
          <w:p w14:paraId="32114813">
            <w:pPr>
              <w:spacing w:line="220" w:lineRule="exact"/>
              <w:rPr>
                <w:rFonts w:hint="eastAsia" w:ascii="宋体" w:hAnsi="宋体"/>
                <w:sz w:val="18"/>
              </w:rPr>
            </w:pPr>
          </w:p>
        </w:tc>
        <w:tc>
          <w:tcPr>
            <w:tcW w:w="863" w:type="pct"/>
            <w:vMerge w:val="continue"/>
            <w:noWrap w:val="0"/>
            <w:vAlign w:val="top"/>
          </w:tcPr>
          <w:p w14:paraId="6A8CD170">
            <w:pPr>
              <w:spacing w:line="220" w:lineRule="exact"/>
              <w:ind w:left="42" w:leftChars="20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80" w:type="pct"/>
            <w:vMerge w:val="continue"/>
            <w:noWrap w:val="0"/>
            <w:vAlign w:val="top"/>
          </w:tcPr>
          <w:p w14:paraId="08F6DC84"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365" w:type="pct"/>
            <w:vMerge w:val="continue"/>
            <w:noWrap w:val="0"/>
            <w:vAlign w:val="center"/>
          </w:tcPr>
          <w:p w14:paraId="3D71D94E">
            <w:pPr>
              <w:spacing w:line="220" w:lineRule="exact"/>
              <w:jc w:val="center"/>
              <w:rPr>
                <w:b/>
                <w:bCs/>
                <w:sz w:val="18"/>
              </w:rPr>
            </w:pPr>
          </w:p>
        </w:tc>
      </w:tr>
      <w:tr w14:paraId="659A8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314" w:type="pct"/>
            <w:tcBorders>
              <w:bottom w:val="double" w:color="auto" w:sz="4" w:space="0"/>
            </w:tcBorders>
            <w:noWrap w:val="0"/>
            <w:vAlign w:val="center"/>
          </w:tcPr>
          <w:p w14:paraId="166C46E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10-12节</w:t>
            </w:r>
          </w:p>
        </w:tc>
        <w:tc>
          <w:tcPr>
            <w:tcW w:w="990" w:type="pct"/>
            <w:tcBorders>
              <w:bottom w:val="double" w:color="auto" w:sz="4" w:space="0"/>
            </w:tcBorders>
            <w:noWrap w:val="0"/>
            <w:vAlign w:val="top"/>
          </w:tcPr>
          <w:p w14:paraId="504371A0">
            <w:pPr>
              <w:spacing w:line="240" w:lineRule="exact"/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</w:p>
          <w:p w14:paraId="5857EC21">
            <w:pPr>
              <w:spacing w:line="240" w:lineRule="exact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843" w:type="pct"/>
            <w:tcBorders>
              <w:bottom w:val="double" w:color="auto" w:sz="4" w:space="0"/>
            </w:tcBorders>
            <w:noWrap w:val="0"/>
            <w:vAlign w:val="top"/>
          </w:tcPr>
          <w:p w14:paraId="36CF4B49">
            <w:pPr>
              <w:spacing w:line="220" w:lineRule="exact"/>
              <w:ind w:left="42" w:leftChars="20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42" w:type="pct"/>
            <w:tcBorders>
              <w:bottom w:val="double" w:color="auto" w:sz="4" w:space="0"/>
            </w:tcBorders>
            <w:noWrap w:val="0"/>
            <w:vAlign w:val="top"/>
          </w:tcPr>
          <w:p w14:paraId="2BD10F4E">
            <w:pPr>
              <w:spacing w:line="240" w:lineRule="exac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63" w:type="pct"/>
            <w:tcBorders>
              <w:bottom w:val="double" w:color="auto" w:sz="4" w:space="0"/>
            </w:tcBorders>
            <w:noWrap w:val="0"/>
            <w:vAlign w:val="top"/>
          </w:tcPr>
          <w:p w14:paraId="7DEC64FF">
            <w:pPr>
              <w:spacing w:line="240" w:lineRule="exact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</w:p>
        </w:tc>
        <w:tc>
          <w:tcPr>
            <w:tcW w:w="780" w:type="pct"/>
            <w:tcBorders>
              <w:bottom w:val="double" w:color="auto" w:sz="4" w:space="0"/>
            </w:tcBorders>
            <w:noWrap w:val="0"/>
            <w:vAlign w:val="top"/>
          </w:tcPr>
          <w:p w14:paraId="3192CEB1"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365" w:type="pct"/>
            <w:vMerge w:val="continue"/>
            <w:noWrap w:val="0"/>
            <w:vAlign w:val="center"/>
          </w:tcPr>
          <w:p w14:paraId="42C1304F">
            <w:pPr>
              <w:spacing w:line="220" w:lineRule="exact"/>
              <w:rPr>
                <w:b/>
                <w:bCs/>
                <w:sz w:val="18"/>
              </w:rPr>
            </w:pPr>
          </w:p>
        </w:tc>
      </w:tr>
    </w:tbl>
    <w:p w14:paraId="15649A5D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常州校区论文写作指导课、江宁校区最优化方法课调整至2026-2027-2学期授课。</w:t>
      </w:r>
      <w:bookmarkStart w:id="0" w:name="_GoBack"/>
      <w:bookmarkEnd w:id="0"/>
    </w:p>
    <w:sectPr>
      <w:pgSz w:w="16838" w:h="11906" w:orient="landscape"/>
      <w:pgMar w:top="567" w:right="1043" w:bottom="567" w:left="102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ans">
    <w:altName w:val="Noto Serif SC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erif SC">
    <w:panose1 w:val="02020200000000000000"/>
    <w:charset w:val="86"/>
    <w:family w:val="auto"/>
    <w:pitch w:val="default"/>
    <w:sig w:usb0="20000083" w:usb1="2ADF3C10" w:usb2="00000016" w:usb3="00000000" w:csb0="60060107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31"/>
    <w:rsid w:val="002B4331"/>
    <w:rsid w:val="0043486C"/>
    <w:rsid w:val="004A2741"/>
    <w:rsid w:val="00510B99"/>
    <w:rsid w:val="00547663"/>
    <w:rsid w:val="007040DA"/>
    <w:rsid w:val="008C5C9D"/>
    <w:rsid w:val="009A5943"/>
    <w:rsid w:val="00A90DF9"/>
    <w:rsid w:val="00AE0341"/>
    <w:rsid w:val="00B706F3"/>
    <w:rsid w:val="00BA512E"/>
    <w:rsid w:val="00BB4348"/>
    <w:rsid w:val="00CA5A8D"/>
    <w:rsid w:val="00DE15D8"/>
    <w:rsid w:val="00E652D4"/>
    <w:rsid w:val="00F51E1C"/>
    <w:rsid w:val="01217E16"/>
    <w:rsid w:val="05B273FA"/>
    <w:rsid w:val="07D653C6"/>
    <w:rsid w:val="105772C0"/>
    <w:rsid w:val="116A65FA"/>
    <w:rsid w:val="11DB6CEE"/>
    <w:rsid w:val="17943623"/>
    <w:rsid w:val="1A8F3966"/>
    <w:rsid w:val="1B4C134A"/>
    <w:rsid w:val="1C6B095F"/>
    <w:rsid w:val="239D2DE4"/>
    <w:rsid w:val="242322D3"/>
    <w:rsid w:val="25841FC5"/>
    <w:rsid w:val="2D0B4FB9"/>
    <w:rsid w:val="2E282B0E"/>
    <w:rsid w:val="32146851"/>
    <w:rsid w:val="33AF0280"/>
    <w:rsid w:val="363D78E7"/>
    <w:rsid w:val="3ED43D43"/>
    <w:rsid w:val="40833E23"/>
    <w:rsid w:val="42263B92"/>
    <w:rsid w:val="4DEF0BC2"/>
    <w:rsid w:val="561029CD"/>
    <w:rsid w:val="5BBF1F68"/>
    <w:rsid w:val="5DC7858E"/>
    <w:rsid w:val="5FB326D2"/>
    <w:rsid w:val="5FB5C10E"/>
    <w:rsid w:val="5FF6283C"/>
    <w:rsid w:val="626B762E"/>
    <w:rsid w:val="69666096"/>
    <w:rsid w:val="697140B1"/>
    <w:rsid w:val="6C7D2EC3"/>
    <w:rsid w:val="6D1B13AA"/>
    <w:rsid w:val="6FBD8060"/>
    <w:rsid w:val="70FF72DC"/>
    <w:rsid w:val="72BB6D8B"/>
    <w:rsid w:val="734901FE"/>
    <w:rsid w:val="7CE502B1"/>
    <w:rsid w:val="7E81225C"/>
    <w:rsid w:val="7EAFAFA0"/>
    <w:rsid w:val="7FF4E1DB"/>
    <w:rsid w:val="ADDEBC93"/>
    <w:rsid w:val="B75B0632"/>
    <w:rsid w:val="BA596822"/>
    <w:rsid w:val="DBDFDB12"/>
    <w:rsid w:val="EEEFF572"/>
    <w:rsid w:val="EF9F552E"/>
    <w:rsid w:val="F2B74E21"/>
    <w:rsid w:val="F6BF4DFA"/>
    <w:rsid w:val="FAAB719E"/>
    <w:rsid w:val="FE742DE3"/>
    <w:rsid w:val="FF5CA0A5"/>
    <w:rsid w:val="FFAE9DFD"/>
    <w:rsid w:val="FFFD4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"/>
    <w:basedOn w:val="3"/>
    <w:qFormat/>
    <w:uiPriority w:val="0"/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默认段落字体1"/>
    <w:qFormat/>
    <w:uiPriority w:val="0"/>
  </w:style>
  <w:style w:type="paragraph" w:customStyle="1" w:styleId="11">
    <w:name w:val="Heading"/>
    <w:basedOn w:val="1"/>
    <w:next w:val="3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2">
    <w:name w:val="Index"/>
    <w:basedOn w:val="1"/>
    <w:qFormat/>
    <w:uiPriority w:val="0"/>
    <w:pPr>
      <w:widowControl w:val="0"/>
      <w:suppressLineNumbers/>
      <w:suppressAutoHyphens/>
    </w:pPr>
  </w:style>
  <w:style w:type="character" w:customStyle="1" w:styleId="13">
    <w:name w:val="font81"/>
    <w:qFormat/>
    <w:uiPriority w:val="0"/>
    <w:rPr>
      <w:rFonts w:hint="eastAsia" w:ascii="宋体" w:hAnsi="宋体" w:eastAsia="宋体" w:cs="宋体"/>
      <w:color w:val="7030A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879</Words>
  <Characters>1226</Characters>
  <Lines>5</Lines>
  <Paragraphs>1</Paragraphs>
  <TotalTime>14</TotalTime>
  <ScaleCrop>false</ScaleCrop>
  <LinksUpToDate>false</LinksUpToDate>
  <CharactersWithSpaces>1232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2025-01-06T06:39:00Z</dcterms:created>
  <dc:creator>jwk1</dc:creator>
  <cp:lastModifiedBy>Administrator</cp:lastModifiedBy>
  <dcterms:modified xsi:type="dcterms:W3CDTF">2026-07-20T03:23:44Z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B02F0CD68D3B43148FD6A2D1E083BB99_13</vt:lpwstr>
  </property>
  <property fmtid="{D5CDD505-2E9C-101B-9397-08002B2CF9AE}" pid="4" name="KSOTemplateDocerSaveRecord">
    <vt:lpwstr>eyJoZGlkIjoiZmMxNzVhYzYwNGYwMjhmMmI2NzMxYTBmZDkxOTAxMDEiLCJ1c2VySWQiOiI1MDQyMDA2ODQifQ==</vt:lpwstr>
  </property>
</Properties>
</file>