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华文仿宋" w:hAnsi="华文仿宋" w:eastAsia="华文仿宋" w:cs="华文仿宋"/>
          <w:b/>
          <w:bCs/>
          <w:sz w:val="32"/>
          <w:szCs w:val="32"/>
          <w:lang w:eastAsia="zh-CN"/>
        </w:rPr>
      </w:pPr>
      <w:r>
        <w:rPr>
          <w:rFonts w:hint="eastAsia" w:ascii="华文仿宋" w:hAnsi="华文仿宋" w:eastAsia="华文仿宋" w:cs="华文仿宋"/>
          <w:b/>
          <w:bCs/>
          <w:sz w:val="32"/>
          <w:szCs w:val="32"/>
        </w:rPr>
        <w:t>河海大学申报2019年</w:t>
      </w:r>
      <w:r>
        <w:rPr>
          <w:rFonts w:hint="eastAsia" w:ascii="华文仿宋" w:hAnsi="华文仿宋" w:eastAsia="华文仿宋" w:cs="华文仿宋"/>
          <w:b/>
          <w:bCs/>
          <w:sz w:val="32"/>
          <w:szCs w:val="32"/>
          <w:lang w:eastAsia="zh-CN"/>
        </w:rPr>
        <w:t>江苏省</w:t>
      </w:r>
      <w:r>
        <w:rPr>
          <w:rFonts w:hint="eastAsia" w:ascii="华文仿宋" w:hAnsi="华文仿宋" w:eastAsia="华文仿宋" w:cs="华文仿宋"/>
          <w:b/>
          <w:bCs/>
          <w:sz w:val="32"/>
          <w:szCs w:val="32"/>
        </w:rPr>
        <w:t>实践创新计划</w:t>
      </w:r>
      <w:r>
        <w:rPr>
          <w:rFonts w:hint="eastAsia" w:ascii="华文仿宋" w:hAnsi="华文仿宋" w:eastAsia="华文仿宋" w:cs="华文仿宋"/>
          <w:b/>
          <w:bCs/>
          <w:sz w:val="32"/>
          <w:szCs w:val="32"/>
          <w:lang w:eastAsia="zh-CN"/>
        </w:rPr>
        <w:t>项目</w:t>
      </w:r>
    </w:p>
    <w:p>
      <w:pPr>
        <w:jc w:val="center"/>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校内评审结果公示</w:t>
      </w:r>
    </w:p>
    <w:p>
      <w:pPr>
        <w:jc w:val="center"/>
        <w:rPr>
          <w:rFonts w:hint="eastAsia" w:ascii="华文仿宋" w:hAnsi="华文仿宋" w:eastAsia="华文仿宋" w:cs="华文仿宋"/>
          <w:b/>
          <w:bCs/>
          <w:sz w:val="32"/>
          <w:szCs w:val="32"/>
        </w:rPr>
      </w:pPr>
    </w:p>
    <w:p>
      <w:pPr>
        <w:rPr>
          <w:rFonts w:ascii="仿宋_GB2312" w:eastAsia="仿宋_GB2312"/>
          <w:sz w:val="30"/>
          <w:szCs w:val="30"/>
        </w:rPr>
      </w:pPr>
      <w:r>
        <w:rPr>
          <w:rFonts w:hint="eastAsia" w:ascii="仿宋_GB2312" w:eastAsia="仿宋_GB2312"/>
          <w:sz w:val="30"/>
          <w:szCs w:val="30"/>
        </w:rPr>
        <w:t>各院（系）：</w:t>
      </w:r>
    </w:p>
    <w:p>
      <w:pPr>
        <w:ind w:firstLine="600" w:firstLineChars="200"/>
        <w:rPr>
          <w:rFonts w:ascii="仿宋_GB2312" w:eastAsia="仿宋_GB2312"/>
          <w:sz w:val="30"/>
          <w:szCs w:val="30"/>
        </w:rPr>
      </w:pPr>
      <w:r>
        <w:rPr>
          <w:rFonts w:hint="eastAsia" w:ascii="仿宋_GB2312" w:eastAsia="仿宋_GB2312"/>
          <w:sz w:val="30"/>
          <w:szCs w:val="30"/>
        </w:rPr>
        <w:t>根据《省教育厅办公室关于做好2019年江苏省研究生教育教学改革课题申报工作的通知》(苏教办研函[2018]13号)、《省教育厅办公室关于做好2019年江苏省科研与实践创新计划等项目申报工作的通知》(苏教办研函[2018]14号)以及《关于做好2019年度</w:t>
      </w:r>
      <w:bookmarkStart w:id="0" w:name="OLE_LINK1"/>
      <w:bookmarkStart w:id="1" w:name="OLE_LINK2"/>
      <w:r>
        <w:rPr>
          <w:rFonts w:hint="eastAsia" w:ascii="仿宋_GB2312" w:eastAsia="仿宋_GB2312"/>
          <w:sz w:val="30"/>
          <w:szCs w:val="30"/>
        </w:rPr>
        <w:t>江苏省研究生科研创新实践活动、研究生教育教学改革课题及科研与实践创新计划等项目申报工作的通知</w:t>
      </w:r>
      <w:bookmarkEnd w:id="0"/>
      <w:bookmarkEnd w:id="1"/>
      <w:r>
        <w:rPr>
          <w:rFonts w:hint="eastAsia" w:ascii="仿宋_GB2312" w:eastAsia="仿宋_GB2312"/>
          <w:sz w:val="30"/>
          <w:szCs w:val="30"/>
        </w:rPr>
        <w:t>》（河海研〔2018〕82 号）文件精神，学校组织有关专家对研究生实践创新计划申报项目进行评审，现将评审结果公示。</w:t>
      </w:r>
    </w:p>
    <w:p>
      <w:pPr>
        <w:ind w:firstLine="600" w:firstLineChars="200"/>
        <w:rPr>
          <w:rFonts w:ascii="仿宋_GB2312" w:eastAsia="仿宋_GB2312"/>
          <w:sz w:val="30"/>
          <w:szCs w:val="30"/>
        </w:rPr>
      </w:pPr>
      <w:r>
        <w:rPr>
          <w:rFonts w:hint="eastAsia" w:ascii="仿宋_GB2312" w:eastAsia="仿宋_GB2312"/>
          <w:sz w:val="30"/>
          <w:szCs w:val="30"/>
        </w:rPr>
        <w:t>各院（系）</w:t>
      </w:r>
      <w:r>
        <w:rPr>
          <w:rFonts w:hint="eastAsia" w:ascii="仿宋_GB2312" w:eastAsia="仿宋_GB2312"/>
          <w:sz w:val="30"/>
          <w:szCs w:val="30"/>
          <w:lang w:eastAsia="zh-CN"/>
        </w:rPr>
        <w:t>或个人</w:t>
      </w:r>
      <w:r>
        <w:rPr>
          <w:rFonts w:hint="eastAsia" w:ascii="仿宋_GB2312" w:eastAsia="仿宋_GB2312"/>
          <w:sz w:val="30"/>
          <w:szCs w:val="30"/>
        </w:rPr>
        <w:t>如对评审结果有异议，请于12月29日中午12：00之前以书面材料反映至</w:t>
      </w:r>
      <w:r>
        <w:rPr>
          <w:rFonts w:hint="eastAsia" w:ascii="仿宋_GB2312" w:eastAsia="仿宋_GB2312"/>
          <w:sz w:val="30"/>
          <w:szCs w:val="30"/>
          <w:lang w:eastAsia="zh-CN"/>
        </w:rPr>
        <w:t>研究生</w:t>
      </w:r>
      <w:r>
        <w:rPr>
          <w:rFonts w:hint="eastAsia" w:ascii="仿宋_GB2312" w:eastAsia="仿宋_GB2312"/>
          <w:sz w:val="30"/>
          <w:szCs w:val="30"/>
        </w:rPr>
        <w:t>基地管理办公室，联系人：储晨雪，联系电话：</w:t>
      </w:r>
      <w:r>
        <w:rPr>
          <w:rFonts w:hint="eastAsia" w:ascii="仿宋_GB2312" w:eastAsia="仿宋_GB2312"/>
          <w:sz w:val="30"/>
          <w:szCs w:val="30"/>
          <w:lang w:val="en-US" w:eastAsia="zh-CN"/>
        </w:rPr>
        <w:t>025-</w:t>
      </w:r>
      <w:r>
        <w:rPr>
          <w:rFonts w:hint="eastAsia" w:ascii="仿宋_GB2312" w:eastAsia="仿宋_GB2312"/>
          <w:sz w:val="30"/>
          <w:szCs w:val="30"/>
        </w:rPr>
        <w:t>83787395。</w:t>
      </w:r>
      <w:bookmarkStart w:id="2" w:name="_GoBack"/>
      <w:bookmarkEnd w:id="2"/>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研究生院   </w:t>
      </w:r>
    </w:p>
    <w:p>
      <w:pPr>
        <w:jc w:val="right"/>
        <w:rPr>
          <w:rFonts w:ascii="仿宋_GB2312" w:eastAsia="仿宋_GB2312"/>
          <w:sz w:val="32"/>
          <w:szCs w:val="32"/>
        </w:rPr>
      </w:pPr>
      <w:r>
        <w:rPr>
          <w:rFonts w:hint="eastAsia" w:ascii="仿宋_GB2312" w:eastAsia="仿宋_GB2312"/>
          <w:sz w:val="32"/>
          <w:szCs w:val="32"/>
        </w:rPr>
        <w:t>2018年12月25日</w:t>
      </w:r>
    </w:p>
    <w:p>
      <w:pPr>
        <w:spacing w:beforeLines="100" w:line="460" w:lineRule="exact"/>
        <w:jc w:val="center"/>
        <w:rPr>
          <w:rFonts w:ascii="宋体"/>
          <w:bCs/>
          <w:sz w:val="48"/>
          <w:szCs w:val="48"/>
        </w:rPr>
      </w:pPr>
    </w:p>
    <w:p>
      <w:pPr>
        <w:spacing w:beforeLines="100" w:line="460" w:lineRule="exact"/>
        <w:jc w:val="center"/>
        <w:rPr>
          <w:rFonts w:ascii="宋体"/>
          <w:bCs/>
          <w:sz w:val="48"/>
          <w:szCs w:val="48"/>
        </w:rPr>
      </w:pPr>
    </w:p>
    <w:p>
      <w:pPr>
        <w:spacing w:beforeLines="100" w:line="460" w:lineRule="exact"/>
        <w:jc w:val="center"/>
        <w:rPr>
          <w:rFonts w:ascii="宋体"/>
          <w:bCs/>
          <w:sz w:val="48"/>
          <w:szCs w:val="48"/>
        </w:rPr>
      </w:pPr>
    </w:p>
    <w:p>
      <w:pPr>
        <w:spacing w:beforeLines="100" w:line="460" w:lineRule="exact"/>
        <w:jc w:val="both"/>
        <w:rPr>
          <w:rFonts w:ascii="宋体"/>
          <w:bCs/>
          <w:sz w:val="48"/>
          <w:szCs w:val="48"/>
        </w:rPr>
      </w:pPr>
    </w:p>
    <w:p>
      <w:pPr>
        <w:keepNext w:val="0"/>
        <w:keepLines w:val="0"/>
        <w:pageBreakBefore w:val="0"/>
        <w:widowControl w:val="0"/>
        <w:kinsoku/>
        <w:wordWrap/>
        <w:overflowPunct/>
        <w:topLinePunct w:val="0"/>
        <w:autoSpaceDE/>
        <w:autoSpaceDN/>
        <w:bidi w:val="0"/>
        <w:adjustRightInd/>
        <w:snapToGrid/>
        <w:spacing w:after="313" w:afterLines="100" w:line="460" w:lineRule="exact"/>
        <w:jc w:val="center"/>
        <w:textAlignment w:val="auto"/>
        <w:outlineLvl w:val="9"/>
        <w:rPr>
          <w:rFonts w:hint="eastAsia" w:ascii="华文仿宋" w:hAnsi="华文仿宋" w:eastAsia="华文仿宋" w:cs="华文仿宋"/>
          <w:b/>
          <w:bCs/>
          <w:sz w:val="32"/>
          <w:szCs w:val="32"/>
        </w:rPr>
      </w:pPr>
    </w:p>
    <w:p>
      <w:pPr>
        <w:keepNext w:val="0"/>
        <w:keepLines w:val="0"/>
        <w:pageBreakBefore w:val="0"/>
        <w:widowControl w:val="0"/>
        <w:kinsoku/>
        <w:wordWrap/>
        <w:overflowPunct/>
        <w:topLinePunct w:val="0"/>
        <w:autoSpaceDE/>
        <w:autoSpaceDN/>
        <w:bidi w:val="0"/>
        <w:adjustRightInd/>
        <w:snapToGrid/>
        <w:spacing w:after="313" w:afterLines="100" w:line="360" w:lineRule="exact"/>
        <w:jc w:val="center"/>
        <w:textAlignment w:val="auto"/>
        <w:outlineLvl w:val="9"/>
        <w:rPr>
          <w:rFonts w:hint="eastAsia" w:ascii="华文仿宋" w:hAnsi="华文仿宋" w:eastAsia="华文仿宋" w:cs="华文仿宋"/>
          <w:b/>
          <w:bCs/>
          <w:sz w:val="32"/>
          <w:szCs w:val="32"/>
          <w:lang w:eastAsia="zh-CN"/>
        </w:rPr>
      </w:pPr>
      <w:r>
        <w:rPr>
          <w:rFonts w:hint="eastAsia" w:ascii="华文仿宋" w:hAnsi="华文仿宋" w:eastAsia="华文仿宋" w:cs="华文仿宋"/>
          <w:b/>
          <w:bCs/>
          <w:sz w:val="32"/>
          <w:szCs w:val="32"/>
        </w:rPr>
        <w:t>河海大学申报2019年江苏省实践创新计划</w:t>
      </w:r>
      <w:r>
        <w:rPr>
          <w:rFonts w:hint="eastAsia" w:ascii="华文仿宋" w:hAnsi="华文仿宋" w:eastAsia="华文仿宋" w:cs="华文仿宋"/>
          <w:b/>
          <w:bCs/>
          <w:sz w:val="32"/>
          <w:szCs w:val="32"/>
          <w:lang w:eastAsia="zh-CN"/>
        </w:rPr>
        <w:t>项目</w:t>
      </w:r>
    </w:p>
    <w:p>
      <w:pPr>
        <w:keepNext w:val="0"/>
        <w:keepLines w:val="0"/>
        <w:pageBreakBefore w:val="0"/>
        <w:widowControl w:val="0"/>
        <w:kinsoku/>
        <w:wordWrap/>
        <w:overflowPunct/>
        <w:topLinePunct w:val="0"/>
        <w:autoSpaceDE/>
        <w:autoSpaceDN/>
        <w:bidi w:val="0"/>
        <w:adjustRightInd/>
        <w:snapToGrid/>
        <w:spacing w:after="313" w:afterLines="100" w:line="360" w:lineRule="exact"/>
        <w:jc w:val="center"/>
        <w:textAlignment w:val="auto"/>
        <w:outlineLvl w:val="9"/>
        <w:rPr>
          <w:rFonts w:ascii="华文仿宋" w:hAnsi="华文仿宋" w:eastAsia="华文仿宋" w:cs="华文仿宋"/>
          <w:b/>
          <w:bCs/>
          <w:sz w:val="32"/>
          <w:szCs w:val="32"/>
        </w:rPr>
      </w:pPr>
      <w:r>
        <w:rPr>
          <w:rFonts w:hint="eastAsia" w:ascii="华文仿宋" w:hAnsi="华文仿宋" w:eastAsia="华文仿宋" w:cs="华文仿宋"/>
          <w:b/>
          <w:bCs/>
          <w:sz w:val="32"/>
          <w:szCs w:val="32"/>
        </w:rPr>
        <w:t>校内评审结果公示</w:t>
      </w:r>
    </w:p>
    <w:tbl>
      <w:tblPr>
        <w:tblStyle w:val="11"/>
        <w:tblW w:w="947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90"/>
        <w:gridCol w:w="1359"/>
        <w:gridCol w:w="69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1190" w:type="dxa"/>
            <w:vAlign w:val="center"/>
          </w:tcPr>
          <w:p>
            <w:pPr>
              <w:spacing w:line="0" w:lineRule="atLeast"/>
              <w:jc w:val="center"/>
              <w:rPr>
                <w:rFonts w:ascii="黑体" w:hAnsi="黑体" w:eastAsia="黑体"/>
                <w:bCs/>
                <w:szCs w:val="21"/>
              </w:rPr>
            </w:pPr>
            <w:r>
              <w:rPr>
                <w:rFonts w:hint="eastAsia" w:ascii="黑体" w:hAnsi="黑体" w:eastAsia="黑体"/>
                <w:bCs/>
                <w:szCs w:val="21"/>
              </w:rPr>
              <w:t>序号</w:t>
            </w:r>
          </w:p>
        </w:tc>
        <w:tc>
          <w:tcPr>
            <w:tcW w:w="1359" w:type="dxa"/>
            <w:vAlign w:val="center"/>
          </w:tcPr>
          <w:p>
            <w:pPr>
              <w:spacing w:line="0" w:lineRule="atLeast"/>
              <w:jc w:val="center"/>
              <w:rPr>
                <w:rFonts w:ascii="黑体" w:hAnsi="黑体" w:eastAsia="黑体"/>
                <w:bCs/>
                <w:szCs w:val="21"/>
              </w:rPr>
            </w:pPr>
            <w:r>
              <w:rPr>
                <w:rFonts w:hint="eastAsia" w:ascii="黑体" w:hAnsi="黑体" w:eastAsia="黑体"/>
                <w:bCs/>
                <w:szCs w:val="21"/>
              </w:rPr>
              <w:t>申请人</w:t>
            </w:r>
          </w:p>
        </w:tc>
        <w:tc>
          <w:tcPr>
            <w:tcW w:w="6928" w:type="dxa"/>
            <w:tcBorders>
              <w:left w:val="single" w:color="auto" w:sz="4" w:space="0"/>
              <w:right w:val="single" w:color="auto" w:sz="4" w:space="0"/>
            </w:tcBorders>
            <w:vAlign w:val="center"/>
          </w:tcPr>
          <w:p>
            <w:pPr>
              <w:spacing w:line="0" w:lineRule="atLeast"/>
              <w:jc w:val="center"/>
              <w:rPr>
                <w:rFonts w:ascii="黑体" w:hAnsi="黑体" w:eastAsia="黑体"/>
                <w:bCs/>
                <w:szCs w:val="21"/>
              </w:rPr>
            </w:pPr>
            <w:r>
              <w:rPr>
                <w:rFonts w:hint="eastAsia" w:ascii="黑体" w:hAnsi="黑体" w:eastAsia="黑体"/>
                <w:bCs/>
                <w:szCs w:val="21"/>
              </w:rPr>
              <w:t>申请项目名称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1</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李</w:t>
            </w:r>
            <w:r>
              <w:rPr>
                <w:rFonts w:hint="eastAsia"/>
                <w:color w:val="000000"/>
                <w:sz w:val="20"/>
                <w:szCs w:val="20"/>
                <w:lang w:val="en-US" w:eastAsia="zh-CN"/>
              </w:rPr>
              <w:t xml:space="preserve">  </w:t>
            </w:r>
            <w:r>
              <w:rPr>
                <w:rFonts w:hint="eastAsia"/>
                <w:color w:val="000000"/>
                <w:sz w:val="20"/>
                <w:szCs w:val="20"/>
              </w:rPr>
              <w:t>尤</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基于数值模拟技术的城市流域洪涝风险防控技术研究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2</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谢佳黎</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应用稳定同位素探究湿润丛林小流域水文机理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3</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张</w:t>
            </w:r>
            <w:r>
              <w:rPr>
                <w:rFonts w:hint="eastAsia"/>
                <w:color w:val="000000"/>
                <w:sz w:val="20"/>
                <w:szCs w:val="20"/>
                <w:lang w:val="en-US" w:eastAsia="zh-CN"/>
              </w:rPr>
              <w:t xml:space="preserve">  </w:t>
            </w:r>
            <w:r>
              <w:rPr>
                <w:rFonts w:hint="eastAsia"/>
                <w:color w:val="000000"/>
                <w:sz w:val="20"/>
                <w:szCs w:val="20"/>
              </w:rPr>
              <w:t>哲</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阳澄湖调水引流生态供水成本测算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4</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刘书明</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高耸进水塔主-附结构体系动力破坏模型试验关键技术研究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5</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王</w:t>
            </w:r>
            <w:r>
              <w:rPr>
                <w:rFonts w:hint="eastAsia"/>
                <w:color w:val="000000"/>
                <w:sz w:val="20"/>
                <w:szCs w:val="20"/>
                <w:lang w:val="en-US" w:eastAsia="zh-CN"/>
              </w:rPr>
              <w:t xml:space="preserve">  </w:t>
            </w:r>
            <w:r>
              <w:rPr>
                <w:rFonts w:hint="eastAsia"/>
                <w:color w:val="000000"/>
                <w:sz w:val="20"/>
                <w:szCs w:val="20"/>
              </w:rPr>
              <w:t>剑</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海上风电带分舱板的筒型基础地震响应及优化研究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6</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李友军</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一种钢筋套筒灌浆密实度无损检测方法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7</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汪</w:t>
            </w:r>
            <w:r>
              <w:rPr>
                <w:rFonts w:hint="eastAsia"/>
                <w:color w:val="000000"/>
                <w:sz w:val="20"/>
                <w:szCs w:val="20"/>
                <w:lang w:val="en-US" w:eastAsia="zh-CN"/>
              </w:rPr>
              <w:t xml:space="preserve">  </w:t>
            </w:r>
            <w:r>
              <w:rPr>
                <w:rFonts w:hint="eastAsia"/>
                <w:color w:val="000000"/>
                <w:sz w:val="20"/>
                <w:szCs w:val="20"/>
              </w:rPr>
              <w:t>浩</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盾构同步双液注浆及稳定管片研究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8</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孙思豪</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高应力土的破坏机理与深层载荷板试验研究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9</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徐盛明</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富水砂层地质条件下过河隧道灾变机理与减灾控制研究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10</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柴志刚</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型钢-钢纤维混凝土在偏心加载作用下的黏结性能试验研究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11</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谢东升</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含碳质骨料抗冲耐磨混凝土裂缝控制关键技术研究与应用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12</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汪</w:t>
            </w:r>
            <w:r>
              <w:rPr>
                <w:rFonts w:hint="eastAsia"/>
                <w:color w:val="000000"/>
                <w:sz w:val="20"/>
                <w:szCs w:val="20"/>
                <w:lang w:val="en-US" w:eastAsia="zh-CN"/>
              </w:rPr>
              <w:t xml:space="preserve">  </w:t>
            </w:r>
            <w:r>
              <w:rPr>
                <w:rFonts w:hint="eastAsia"/>
                <w:color w:val="000000"/>
                <w:sz w:val="20"/>
                <w:szCs w:val="20"/>
              </w:rPr>
              <w:t>升</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盾构新型硬质合金刀具的研发与工程应用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13</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巩稣稣</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地震作用下弯剪破坏钢筋混凝土桥墩低周疲劳特性研究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14</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王</w:t>
            </w:r>
            <w:r>
              <w:rPr>
                <w:rFonts w:hint="eastAsia"/>
                <w:color w:val="000000"/>
                <w:sz w:val="20"/>
                <w:szCs w:val="20"/>
                <w:lang w:val="en-US" w:eastAsia="zh-CN"/>
              </w:rPr>
              <w:t xml:space="preserve">  </w:t>
            </w:r>
            <w:r>
              <w:rPr>
                <w:rFonts w:hint="eastAsia"/>
                <w:color w:val="000000"/>
                <w:sz w:val="20"/>
                <w:szCs w:val="20"/>
              </w:rPr>
              <w:t>耐</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交通大数据环境下多因素影响的公交线路优化方法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15</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黎</w:t>
            </w:r>
            <w:r>
              <w:rPr>
                <w:rFonts w:hint="eastAsia"/>
                <w:color w:val="000000"/>
                <w:sz w:val="20"/>
                <w:szCs w:val="20"/>
                <w:lang w:val="en-US" w:eastAsia="zh-CN"/>
              </w:rPr>
              <w:t xml:space="preserve">  </w:t>
            </w:r>
            <w:r>
              <w:rPr>
                <w:rFonts w:hint="eastAsia"/>
                <w:color w:val="000000"/>
                <w:sz w:val="20"/>
                <w:szCs w:val="20"/>
              </w:rPr>
              <w:t>想</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考虑各向异性的土石坝料渗透变形研究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16</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李文欣</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明代南京都城城河一体的关系研究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17</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汪逸云</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 xml:space="preserve">石墨烯-凹土复合材料对水体抗生素的附效果及研究机理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18</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程逸群</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江苏省水源地持久性有机污染物赋存现状及风险评价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19</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王</w:t>
            </w:r>
            <w:r>
              <w:rPr>
                <w:rFonts w:hint="eastAsia"/>
                <w:color w:val="000000"/>
                <w:sz w:val="20"/>
                <w:szCs w:val="20"/>
                <w:lang w:val="en-US" w:eastAsia="zh-CN"/>
              </w:rPr>
              <w:t xml:space="preserve">  </w:t>
            </w:r>
            <w:r>
              <w:rPr>
                <w:rFonts w:hint="eastAsia"/>
                <w:color w:val="000000"/>
                <w:sz w:val="20"/>
                <w:szCs w:val="20"/>
              </w:rPr>
              <w:t>凯</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椒江区“污水零直排区”创建总体实施方案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20</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钱</w:t>
            </w:r>
            <w:r>
              <w:rPr>
                <w:rFonts w:hint="eastAsia"/>
                <w:color w:val="000000"/>
                <w:sz w:val="20"/>
                <w:szCs w:val="20"/>
                <w:lang w:val="en-US" w:eastAsia="zh-CN"/>
              </w:rPr>
              <w:t xml:space="preserve">  </w:t>
            </w:r>
            <w:r>
              <w:rPr>
                <w:rFonts w:hint="eastAsia"/>
                <w:color w:val="000000"/>
                <w:sz w:val="20"/>
                <w:szCs w:val="20"/>
              </w:rPr>
              <w:t>俊</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面向工程安全监测的多源信息融合方法研究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21</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王凯月</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基于GIS的大数据驱动下洪水风险评估研究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22</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黄家辉</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融合多种定位信息的智能铁鞋创新实践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23</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王国威</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一步水热法制备</w:t>
            </w:r>
            <w:r>
              <w:rPr>
                <w:color w:val="000000"/>
                <w:sz w:val="20"/>
                <w:szCs w:val="20"/>
              </w:rPr>
              <w:t xml:space="preserve"> Mg-Li</w:t>
            </w:r>
            <w:r>
              <w:rPr>
                <w:rFonts w:hint="eastAsia"/>
                <w:color w:val="000000"/>
                <w:sz w:val="20"/>
                <w:szCs w:val="20"/>
              </w:rPr>
              <w:t>合金表面超疏水羟基磷灰石耐蚀涂层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24</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宋鹏程</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基于氟盐粗化的空心玻璃微珠表面金属化制备及其吸波性能研究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25</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邵延凡</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双相不锈钢表面熔覆耐磨耐蚀钴基合金技术研究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rFonts w:ascii="宋体" w:hAnsi="宋体"/>
                <w:bCs/>
                <w:szCs w:val="21"/>
              </w:rPr>
            </w:pPr>
            <w:r>
              <w:rPr>
                <w:rFonts w:hint="eastAsia" w:ascii="黑体" w:hAnsi="黑体" w:eastAsia="黑体"/>
                <w:bCs/>
                <w:szCs w:val="21"/>
              </w:rPr>
              <w:t>序号</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rFonts w:ascii="宋体" w:hAnsi="宋体" w:cs="宋体"/>
                <w:color w:val="000000"/>
                <w:sz w:val="20"/>
                <w:szCs w:val="20"/>
              </w:rPr>
            </w:pPr>
            <w:r>
              <w:rPr>
                <w:rFonts w:hint="eastAsia" w:ascii="黑体" w:hAnsi="黑体" w:eastAsia="黑体"/>
                <w:bCs/>
                <w:szCs w:val="21"/>
              </w:rPr>
              <w:t>申请人</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0" w:lineRule="atLeast"/>
              <w:jc w:val="center"/>
              <w:rPr>
                <w:rFonts w:ascii="宋体" w:hAnsi="宋体" w:cs="宋体"/>
                <w:color w:val="000000"/>
                <w:sz w:val="20"/>
                <w:szCs w:val="20"/>
              </w:rPr>
            </w:pPr>
            <w:r>
              <w:rPr>
                <w:rFonts w:hint="eastAsia" w:ascii="黑体" w:hAnsi="黑体" w:eastAsia="黑体"/>
                <w:bCs/>
                <w:szCs w:val="21"/>
              </w:rPr>
              <w:t>申请项目名称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hint="eastAsia" w:ascii="宋体" w:hAnsi="宋体"/>
                <w:bCs/>
                <w:szCs w:val="21"/>
              </w:rPr>
            </w:pPr>
            <w:r>
              <w:rPr>
                <w:rFonts w:hint="eastAsia" w:ascii="宋体" w:hAnsi="宋体"/>
                <w:bCs/>
                <w:szCs w:val="21"/>
              </w:rPr>
              <w:t>26</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hint="eastAsia"/>
                <w:color w:val="000000"/>
                <w:sz w:val="20"/>
                <w:szCs w:val="20"/>
              </w:rPr>
            </w:pPr>
            <w:r>
              <w:rPr>
                <w:rFonts w:hint="eastAsia"/>
                <w:color w:val="000000"/>
                <w:sz w:val="20"/>
                <w:szCs w:val="20"/>
              </w:rPr>
              <w:t>马晨晨</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hint="eastAsia"/>
                <w:color w:val="000000"/>
                <w:sz w:val="20"/>
                <w:szCs w:val="20"/>
              </w:rPr>
            </w:pPr>
            <w:r>
              <w:rPr>
                <w:rFonts w:hint="eastAsia"/>
                <w:color w:val="000000"/>
                <w:sz w:val="20"/>
                <w:szCs w:val="20"/>
              </w:rPr>
              <w:t>时效对铝合金和CFRTP激光焊微焊点界面及性能的影响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27</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胡靖昊</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犯罪预测分析系统开发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28</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关保宇</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巢湖蓝藻发生的时空特征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29</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杨</w:t>
            </w:r>
            <w:r>
              <w:rPr>
                <w:rFonts w:hint="eastAsia"/>
                <w:color w:val="000000"/>
                <w:sz w:val="20"/>
                <w:szCs w:val="20"/>
                <w:lang w:val="en-US" w:eastAsia="zh-CN"/>
              </w:rPr>
              <w:t xml:space="preserve">  </w:t>
            </w:r>
            <w:r>
              <w:rPr>
                <w:rFonts w:hint="eastAsia"/>
                <w:color w:val="000000"/>
                <w:sz w:val="20"/>
                <w:szCs w:val="20"/>
              </w:rPr>
              <w:t>星</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三维电阻率与极发激化率数据反演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30</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卜</w:t>
            </w:r>
            <w:r>
              <w:rPr>
                <w:rFonts w:hint="eastAsia"/>
                <w:color w:val="000000"/>
                <w:sz w:val="20"/>
                <w:szCs w:val="20"/>
                <w:lang w:val="en-US" w:eastAsia="zh-CN"/>
              </w:rPr>
              <w:t xml:space="preserve">  </w:t>
            </w:r>
            <w:r>
              <w:rPr>
                <w:rFonts w:hint="eastAsia"/>
                <w:color w:val="000000"/>
                <w:sz w:val="20"/>
                <w:szCs w:val="20"/>
              </w:rPr>
              <w:t>凡</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基于BOFDA的采空塌陷的物理模型试验及变形机理研究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31</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余</w:t>
            </w:r>
            <w:r>
              <w:rPr>
                <w:rFonts w:hint="eastAsia"/>
                <w:color w:val="000000"/>
                <w:sz w:val="20"/>
                <w:szCs w:val="20"/>
                <w:lang w:val="en-US" w:eastAsia="zh-CN"/>
              </w:rPr>
              <w:t xml:space="preserve">  </w:t>
            </w:r>
            <w:r>
              <w:rPr>
                <w:rFonts w:hint="eastAsia"/>
                <w:color w:val="000000"/>
                <w:sz w:val="20"/>
                <w:szCs w:val="20"/>
              </w:rPr>
              <w:t>猛</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桉树种植区地下水氮污染特征定量快速自动分析方法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32</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黄伟俊</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基于西门子PLC的焊接控制系统的设计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33</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刘</w:t>
            </w:r>
            <w:r>
              <w:rPr>
                <w:rFonts w:hint="eastAsia"/>
                <w:color w:val="000000"/>
                <w:sz w:val="20"/>
                <w:szCs w:val="20"/>
                <w:lang w:val="en-US" w:eastAsia="zh-CN"/>
              </w:rPr>
              <w:t xml:space="preserve">  </w:t>
            </w:r>
            <w:r>
              <w:rPr>
                <w:rFonts w:hint="eastAsia"/>
                <w:color w:val="000000"/>
                <w:sz w:val="20"/>
                <w:szCs w:val="20"/>
              </w:rPr>
              <w:t>畅</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基于FBS理论模型的无性别育婴室产品服务系统设计研究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34</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刘维茜</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基于石墨烯材料的LED车灯散热分析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35</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陶云坤</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新型双面光伏组件建模及发电量预测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36</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李宇彤</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LED光环境设计对人眼视觉的影响研究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37</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卢</w:t>
            </w:r>
            <w:r>
              <w:rPr>
                <w:rFonts w:hint="eastAsia"/>
                <w:color w:val="000000"/>
                <w:sz w:val="20"/>
                <w:szCs w:val="20"/>
                <w:lang w:val="en-US" w:eastAsia="zh-CN"/>
              </w:rPr>
              <w:t xml:space="preserve">  </w:t>
            </w:r>
            <w:r>
              <w:rPr>
                <w:rFonts w:hint="eastAsia"/>
                <w:color w:val="000000"/>
                <w:sz w:val="20"/>
                <w:szCs w:val="20"/>
              </w:rPr>
              <w:t>存</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储能用锂电池加速寿命测试与评估研究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38</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杨</w:t>
            </w:r>
            <w:r>
              <w:rPr>
                <w:rFonts w:hint="eastAsia"/>
                <w:color w:val="000000"/>
                <w:sz w:val="20"/>
                <w:szCs w:val="20"/>
                <w:lang w:val="en-US" w:eastAsia="zh-CN"/>
              </w:rPr>
              <w:t xml:space="preserve">  </w:t>
            </w:r>
            <w:r>
              <w:rPr>
                <w:rFonts w:hint="eastAsia"/>
                <w:color w:val="000000"/>
                <w:sz w:val="20"/>
                <w:szCs w:val="20"/>
              </w:rPr>
              <w:t>旭</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多天气条件下典型智能光伏跟踪系统优化研究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39</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刘</w:t>
            </w:r>
            <w:r>
              <w:rPr>
                <w:rFonts w:hint="eastAsia"/>
                <w:color w:val="000000"/>
                <w:sz w:val="20"/>
                <w:szCs w:val="20"/>
                <w:lang w:val="en-US" w:eastAsia="zh-CN"/>
              </w:rPr>
              <w:t xml:space="preserve">  </w:t>
            </w:r>
            <w:r>
              <w:rPr>
                <w:rFonts w:hint="eastAsia"/>
                <w:color w:val="000000"/>
                <w:sz w:val="20"/>
                <w:szCs w:val="20"/>
              </w:rPr>
              <w:t>丹</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基于正创造镜子理论的老年人卫浴产品服务系统设计研究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40</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刘</w:t>
            </w:r>
            <w:r>
              <w:rPr>
                <w:rFonts w:hint="eastAsia"/>
                <w:color w:val="000000"/>
                <w:sz w:val="20"/>
                <w:szCs w:val="20"/>
                <w:lang w:val="en-US" w:eastAsia="zh-CN"/>
              </w:rPr>
              <w:t xml:space="preserve">  </w:t>
            </w:r>
            <w:r>
              <w:rPr>
                <w:rFonts w:hint="eastAsia"/>
                <w:color w:val="000000"/>
                <w:sz w:val="20"/>
                <w:szCs w:val="20"/>
              </w:rPr>
              <w:t>志</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剪叉式高空作业平台液压系统优化设计与动力学分析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41</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王金强</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基于移动终端的复杂产品自定义三维虚拟装配系统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42</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郎瑶瑶</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社会组织介入困境儿童社会保护的案例研究——基于</w:t>
            </w:r>
            <w:r>
              <w:rPr>
                <w:color w:val="000000"/>
                <w:sz w:val="20"/>
                <w:szCs w:val="20"/>
              </w:rPr>
              <w:t>L</w:t>
            </w:r>
            <w:r>
              <w:rPr>
                <w:rFonts w:hint="eastAsia"/>
                <w:color w:val="000000"/>
                <w:sz w:val="20"/>
                <w:szCs w:val="20"/>
              </w:rPr>
              <w:t>组织困境儿童服务的研究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43</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杨</w:t>
            </w:r>
            <w:r>
              <w:rPr>
                <w:rFonts w:hint="eastAsia"/>
                <w:color w:val="000000"/>
                <w:sz w:val="20"/>
                <w:szCs w:val="20"/>
                <w:lang w:val="en-US" w:eastAsia="zh-CN"/>
              </w:rPr>
              <w:t xml:space="preserve">  </w:t>
            </w:r>
            <w:r>
              <w:rPr>
                <w:rFonts w:hint="eastAsia"/>
                <w:color w:val="000000"/>
                <w:sz w:val="20"/>
                <w:szCs w:val="20"/>
              </w:rPr>
              <w:t>晓</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社会工作第三方评估机制研究——以儿童项目为例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44</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施倩茹</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社会支持视角下农村留守妇女再就业研究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45</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赵果雨</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精准扶贫下社会工作介入贫困户能力提升研究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46</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杨</w:t>
            </w:r>
            <w:r>
              <w:rPr>
                <w:rFonts w:hint="eastAsia"/>
                <w:color w:val="000000"/>
                <w:sz w:val="20"/>
                <w:szCs w:val="20"/>
                <w:lang w:val="en-US" w:eastAsia="zh-CN"/>
              </w:rPr>
              <w:t xml:space="preserve">  </w:t>
            </w:r>
            <w:r>
              <w:rPr>
                <w:rFonts w:hint="eastAsia"/>
                <w:color w:val="000000"/>
                <w:sz w:val="20"/>
                <w:szCs w:val="20"/>
              </w:rPr>
              <w:t>灿</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家暴儿童权益保护问题的社工介入研究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47</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沙海婷</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社会工作在城市社区空巢老人精神关爱中的介入研究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48</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周海燕</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小组工作介入水库移民生计恢复研究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49</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陈</w:t>
            </w:r>
            <w:r>
              <w:rPr>
                <w:rFonts w:hint="eastAsia"/>
                <w:color w:val="000000"/>
                <w:sz w:val="20"/>
                <w:szCs w:val="20"/>
                <w:lang w:val="en-US" w:eastAsia="zh-CN"/>
              </w:rPr>
              <w:t xml:space="preserve">  </w:t>
            </w:r>
            <w:r>
              <w:rPr>
                <w:rFonts w:hint="eastAsia"/>
                <w:color w:val="000000"/>
                <w:sz w:val="20"/>
                <w:szCs w:val="20"/>
              </w:rPr>
              <w:t>蕾</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国内外高校外语类应用型研究生培养状况比较研究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119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60" w:lineRule="exact"/>
              <w:jc w:val="center"/>
              <w:rPr>
                <w:rFonts w:ascii="宋体" w:hAnsi="宋体"/>
                <w:bCs/>
                <w:szCs w:val="21"/>
              </w:rPr>
            </w:pPr>
            <w:r>
              <w:rPr>
                <w:rFonts w:hint="eastAsia" w:ascii="宋体" w:hAnsi="宋体"/>
                <w:bCs/>
                <w:szCs w:val="21"/>
              </w:rPr>
              <w:t>50</w:t>
            </w:r>
          </w:p>
        </w:tc>
        <w:tc>
          <w:tcPr>
            <w:tcW w:w="135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神</w:t>
            </w:r>
            <w:r>
              <w:rPr>
                <w:rFonts w:hint="eastAsia"/>
                <w:color w:val="000000"/>
                <w:sz w:val="20"/>
                <w:szCs w:val="20"/>
                <w:lang w:val="en-US" w:eastAsia="zh-CN"/>
              </w:rPr>
              <w:t xml:space="preserve">  </w:t>
            </w:r>
            <w:r>
              <w:rPr>
                <w:rFonts w:hint="eastAsia"/>
                <w:color w:val="000000"/>
                <w:sz w:val="20"/>
                <w:szCs w:val="20"/>
              </w:rPr>
              <w:t>琪</w:t>
            </w:r>
          </w:p>
        </w:tc>
        <w:tc>
          <w:tcPr>
            <w:tcW w:w="692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基于CAT技术的水利翻译建设及出路探索</w:t>
            </w:r>
          </w:p>
        </w:tc>
      </w:tr>
    </w:tbl>
    <w:p>
      <w:pPr>
        <w:spacing w:line="460" w:lineRule="exact"/>
      </w:pPr>
    </w:p>
    <w:sectPr>
      <w:pgSz w:w="11906" w:h="16838"/>
      <w:pgMar w:top="1134" w:right="1134" w:bottom="1361" w:left="124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2CB4"/>
    <w:rsid w:val="00013BB1"/>
    <w:rsid w:val="00043EAB"/>
    <w:rsid w:val="0006379B"/>
    <w:rsid w:val="00065C57"/>
    <w:rsid w:val="00082841"/>
    <w:rsid w:val="000F24AF"/>
    <w:rsid w:val="00106D96"/>
    <w:rsid w:val="001422A1"/>
    <w:rsid w:val="00172A27"/>
    <w:rsid w:val="001A034A"/>
    <w:rsid w:val="001A516B"/>
    <w:rsid w:val="001A5EC1"/>
    <w:rsid w:val="001B07EF"/>
    <w:rsid w:val="001C21DC"/>
    <w:rsid w:val="001C2A57"/>
    <w:rsid w:val="001D1B50"/>
    <w:rsid w:val="001F6D66"/>
    <w:rsid w:val="001F72A7"/>
    <w:rsid w:val="00241884"/>
    <w:rsid w:val="00256D81"/>
    <w:rsid w:val="0026396D"/>
    <w:rsid w:val="00285AD7"/>
    <w:rsid w:val="002979BC"/>
    <w:rsid w:val="002A47D1"/>
    <w:rsid w:val="00301F07"/>
    <w:rsid w:val="00350401"/>
    <w:rsid w:val="00356BB4"/>
    <w:rsid w:val="00364993"/>
    <w:rsid w:val="00367DBB"/>
    <w:rsid w:val="00396777"/>
    <w:rsid w:val="003D5F42"/>
    <w:rsid w:val="003D7F4E"/>
    <w:rsid w:val="003E514B"/>
    <w:rsid w:val="00415EAD"/>
    <w:rsid w:val="004405C6"/>
    <w:rsid w:val="00444F47"/>
    <w:rsid w:val="00482823"/>
    <w:rsid w:val="004847CC"/>
    <w:rsid w:val="00493D67"/>
    <w:rsid w:val="004C1D49"/>
    <w:rsid w:val="004C406C"/>
    <w:rsid w:val="004D0A33"/>
    <w:rsid w:val="004F0A4E"/>
    <w:rsid w:val="004F6064"/>
    <w:rsid w:val="00515A19"/>
    <w:rsid w:val="00554AB6"/>
    <w:rsid w:val="005675F6"/>
    <w:rsid w:val="005947A1"/>
    <w:rsid w:val="005B01BB"/>
    <w:rsid w:val="005C6031"/>
    <w:rsid w:val="005F3C40"/>
    <w:rsid w:val="0060295B"/>
    <w:rsid w:val="00603A43"/>
    <w:rsid w:val="00613396"/>
    <w:rsid w:val="00666506"/>
    <w:rsid w:val="006814F4"/>
    <w:rsid w:val="00704D14"/>
    <w:rsid w:val="00724552"/>
    <w:rsid w:val="00725220"/>
    <w:rsid w:val="007364ED"/>
    <w:rsid w:val="00747F6D"/>
    <w:rsid w:val="007C74B9"/>
    <w:rsid w:val="007C79D6"/>
    <w:rsid w:val="007D328A"/>
    <w:rsid w:val="007D7D4B"/>
    <w:rsid w:val="007E11B3"/>
    <w:rsid w:val="007E4EE1"/>
    <w:rsid w:val="007F35E9"/>
    <w:rsid w:val="00817AF0"/>
    <w:rsid w:val="008451A9"/>
    <w:rsid w:val="00846497"/>
    <w:rsid w:val="00862915"/>
    <w:rsid w:val="008E32A1"/>
    <w:rsid w:val="008E4B0E"/>
    <w:rsid w:val="0090068A"/>
    <w:rsid w:val="00901E9B"/>
    <w:rsid w:val="00905341"/>
    <w:rsid w:val="00960547"/>
    <w:rsid w:val="00995615"/>
    <w:rsid w:val="00996E79"/>
    <w:rsid w:val="009A3257"/>
    <w:rsid w:val="00A1550E"/>
    <w:rsid w:val="00A223D7"/>
    <w:rsid w:val="00A30993"/>
    <w:rsid w:val="00A5743F"/>
    <w:rsid w:val="00A63C55"/>
    <w:rsid w:val="00A66E5E"/>
    <w:rsid w:val="00A726EF"/>
    <w:rsid w:val="00AD4ADF"/>
    <w:rsid w:val="00B05211"/>
    <w:rsid w:val="00B35412"/>
    <w:rsid w:val="00B534EF"/>
    <w:rsid w:val="00B565D9"/>
    <w:rsid w:val="00B71945"/>
    <w:rsid w:val="00B8507F"/>
    <w:rsid w:val="00B91385"/>
    <w:rsid w:val="00B969D5"/>
    <w:rsid w:val="00BC6205"/>
    <w:rsid w:val="00BD562C"/>
    <w:rsid w:val="00BE0B8C"/>
    <w:rsid w:val="00BE735F"/>
    <w:rsid w:val="00BF4FD1"/>
    <w:rsid w:val="00C02B06"/>
    <w:rsid w:val="00C15414"/>
    <w:rsid w:val="00C169CE"/>
    <w:rsid w:val="00C32077"/>
    <w:rsid w:val="00C53A9A"/>
    <w:rsid w:val="00C72D6B"/>
    <w:rsid w:val="00C813BD"/>
    <w:rsid w:val="00C96390"/>
    <w:rsid w:val="00CB0C8D"/>
    <w:rsid w:val="00CB4FDB"/>
    <w:rsid w:val="00CD4844"/>
    <w:rsid w:val="00CF3965"/>
    <w:rsid w:val="00CF5FC3"/>
    <w:rsid w:val="00D40900"/>
    <w:rsid w:val="00D55479"/>
    <w:rsid w:val="00D65F46"/>
    <w:rsid w:val="00D75BF9"/>
    <w:rsid w:val="00DC46AB"/>
    <w:rsid w:val="00DD42C1"/>
    <w:rsid w:val="00DE00FC"/>
    <w:rsid w:val="00DF3F15"/>
    <w:rsid w:val="00DF4E6C"/>
    <w:rsid w:val="00DF73B4"/>
    <w:rsid w:val="00E12D40"/>
    <w:rsid w:val="00E40386"/>
    <w:rsid w:val="00E55633"/>
    <w:rsid w:val="00E63673"/>
    <w:rsid w:val="00E74D0A"/>
    <w:rsid w:val="00E900C3"/>
    <w:rsid w:val="00E93DAB"/>
    <w:rsid w:val="00EA2714"/>
    <w:rsid w:val="00EB29AD"/>
    <w:rsid w:val="00EC6B15"/>
    <w:rsid w:val="00F17DE3"/>
    <w:rsid w:val="00F2038C"/>
    <w:rsid w:val="00F7231D"/>
    <w:rsid w:val="00F7478F"/>
    <w:rsid w:val="00F84F67"/>
    <w:rsid w:val="00FC7677"/>
    <w:rsid w:val="00FF5AF0"/>
    <w:rsid w:val="01D12A95"/>
    <w:rsid w:val="25643BAD"/>
    <w:rsid w:val="25B24381"/>
    <w:rsid w:val="2FD87B9A"/>
    <w:rsid w:val="34A94F8F"/>
    <w:rsid w:val="441350A0"/>
    <w:rsid w:val="4E884CFB"/>
    <w:rsid w:val="569A17D0"/>
    <w:rsid w:val="64A23A22"/>
    <w:rsid w:val="6A3E070F"/>
    <w:rsid w:val="7488713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Plain Text"/>
    <w:basedOn w:val="1"/>
    <w:uiPriority w:val="0"/>
    <w:rPr>
      <w:rFonts w:ascii="宋体" w:hAnsi="Courier New"/>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line="288" w:lineRule="auto"/>
      <w:jc w:val="left"/>
    </w:pPr>
    <w:rPr>
      <w:rFonts w:ascii="ˎ̥" w:hAnsi="ˎ̥" w:cs="宋体"/>
      <w:kern w:val="0"/>
      <w:sz w:val="20"/>
      <w:szCs w:val="20"/>
    </w:rPr>
  </w:style>
  <w:style w:type="character" w:styleId="8">
    <w:name w:val="page number"/>
    <w:basedOn w:val="7"/>
    <w:uiPriority w:val="0"/>
  </w:style>
  <w:style w:type="character" w:styleId="9">
    <w:name w:val="FollowedHyperlink"/>
    <w:semiHidden/>
    <w:unhideWhenUsed/>
    <w:qFormat/>
    <w:uiPriority w:val="99"/>
    <w:rPr>
      <w:color w:val="800080"/>
      <w:u w:val="single"/>
    </w:rPr>
  </w:style>
  <w:style w:type="character" w:styleId="10">
    <w:name w:val="Hyperlink"/>
    <w:semiHidden/>
    <w:unhideWhenUsed/>
    <w:uiPriority w:val="99"/>
    <w:rPr>
      <w:color w:val="0000FF"/>
      <w:u w:val="single"/>
    </w:rPr>
  </w:style>
  <w:style w:type="character" w:customStyle="1" w:styleId="12">
    <w:name w:val="fontstyle01"/>
    <w:uiPriority w:val="0"/>
    <w:rPr>
      <w:rFonts w:hint="eastAsia" w:ascii="宋体" w:hAnsi="宋体" w:eastAsia="宋体"/>
      <w:color w:val="000000"/>
      <w:sz w:val="24"/>
      <w:szCs w:val="24"/>
    </w:rPr>
  </w:style>
  <w:style w:type="paragraph" w:customStyle="1" w:styleId="13">
    <w:name w:val="msonormal"/>
    <w:basedOn w:val="1"/>
    <w:uiPriority w:val="0"/>
    <w:pPr>
      <w:widowControl/>
      <w:spacing w:before="100" w:beforeAutospacing="1" w:after="100" w:afterAutospacing="1"/>
      <w:jc w:val="left"/>
    </w:pPr>
    <w:rPr>
      <w:rFonts w:ascii="宋体" w:hAnsi="宋体" w:cs="宋体"/>
      <w:kern w:val="0"/>
      <w:sz w:val="24"/>
    </w:rPr>
  </w:style>
  <w:style w:type="paragraph" w:customStyle="1" w:styleId="14">
    <w:name w:val="font5"/>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5">
    <w:name w:val="font6"/>
    <w:basedOn w:val="1"/>
    <w:qFormat/>
    <w:uiPriority w:val="0"/>
    <w:pPr>
      <w:widowControl/>
      <w:spacing w:before="100" w:beforeAutospacing="1" w:after="100" w:afterAutospacing="1"/>
      <w:jc w:val="left"/>
    </w:pPr>
    <w:rPr>
      <w:color w:val="000000"/>
      <w:kern w:val="0"/>
      <w:sz w:val="22"/>
      <w:szCs w:val="22"/>
    </w:rPr>
  </w:style>
  <w:style w:type="paragraph" w:customStyle="1" w:styleId="1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xl6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277</Words>
  <Characters>1579</Characters>
  <Lines>13</Lines>
  <Paragraphs>3</Paragraphs>
  <TotalTime>3</TotalTime>
  <ScaleCrop>false</ScaleCrop>
  <LinksUpToDate>false</LinksUpToDate>
  <CharactersWithSpaces>1853</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2018-04-02T07:41:00Z</dcterms:created>
  <dc:creator>微软用户</dc:creator>
  <cp:lastModifiedBy>诗香袭人</cp:lastModifiedBy>
  <dcterms:modified xsi:type="dcterms:W3CDTF">2018-12-25T02:25:38Z</dcterms:modified>
  <dc:title>“江苏省普通高校研究生科技创新计划”</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